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pPr>
      <w:r>
        <w:rPr>
          <w:rFonts w:ascii="Calibri" w:cs="Calibri" w:eastAsia="Calibri" w:hAnsi="Calibri"/>
          <w:b/>
          <w:bCs/>
          <w:color w:val="C2410C"/>
          <w:sz w:val="20"/>
          <w:szCs w:val="20"/>
        </w:rPr>
        <w:t xml:space="preserve">FIELD DATA COLLECTION STANDARD</w:t>
      </w:r>
    </w:p>
    <w:p>
      <w:pPr>
        <w:spacing w:after="60"/>
      </w:pPr>
      <w:r>
        <w:rPr>
          <w:rFonts w:ascii="Calibri" w:cs="Calibri" w:eastAsia="Calibri" w:hAnsi="Calibri"/>
          <w:b/>
          <w:bCs/>
          <w:color w:val="1F3864"/>
          <w:sz w:val="60"/>
          <w:szCs w:val="60"/>
        </w:rPr>
        <w:t xml:space="preserve">GPR Concrete Scanning</w:t>
      </w:r>
    </w:p>
    <w:p>
      <w:pPr>
        <w:pBdr>
          <w:bottom w:val="single" w:color="1F3864" w:sz="16" w:space="8"/>
        </w:pBdr>
        <w:spacing w:after="400"/>
      </w:pPr>
      <w:r>
        <w:rPr>
          <w:rFonts w:ascii="Calibri" w:cs="Calibri" w:eastAsia="Calibri" w:hAnsi="Calibri"/>
          <w:color w:val="595959"/>
          <w:sz w:val="26"/>
          <w:szCs w:val="26"/>
        </w:rPr>
        <w:t xml:space="preserve">How to collect data that supports a defensible interpretation</w:t>
      </w:r>
    </w:p>
    <w:p>
      <w:pPr>
        <w:spacing w:after="280"/>
      </w:pPr>
      <w:r>
        <w:rPr>
          <w:rFonts w:ascii="Calibri" w:cs="Calibri" w:eastAsia="Calibri" w:hAnsi="Calibri"/>
          <w:b w:val="false"/>
          <w:bCs w:val="false"/>
          <w:i w:val="false"/>
          <w:iCs w:val="false"/>
          <w:color w:val="000000"/>
          <w:sz w:val="22"/>
          <w:szCs w:val="22"/>
        </w:rPr>
        <w:t xml:space="preserve">Written for concrete cutting, coring, mechanical, electrical, and plumbing subcontractors who scan their own slabs — and for anyone who needs their data interpreted by someone else.</w:t>
      </w:r>
    </w:p>
    <w:p>
      <w:pPr>
        <w:spacing w:after="240"/>
      </w:pPr>
      <w:r>
        <w:rPr>
          <w:rFonts w:ascii="Calibri" w:cs="Calibri" w:eastAsia="Calibri" w:hAnsi="Calibri"/>
          <w:b w:val="false"/>
          <w:bCs w:val="false"/>
          <w:i w:val="false"/>
          <w:iCs w:val="false"/>
          <w:color w:val="000000"/>
          <w:sz w:val="20"/>
          <w:szCs w:val="20"/>
        </w:rPr>
        <w:t xml:space="preserve">Most unusable GPR data is not the result of bad equipment. It is the result of a scan that was collected in a way that made interpretation impossible after the fact. Nearly all of it is avoidable, and none of the fixes cost money.</w:t>
      </w:r>
    </w:p>
    <w:p>
      <w:pPr>
        <w:pBdr>
          <w:top w:val="single" w:color="F1F4F9" w:sz="2" w:space="6"/>
          <w:bottom w:val="single" w:color="F1F4F9" w:sz="2" w:space="6"/>
          <w:left w:val="single" w:color="1F3864" w:sz="18" w:space="8"/>
          <w:right w:val="single" w:color="F1F4F9" w:sz="2" w:space="6"/>
        </w:pBdr>
        <w:shd w:fill="F1F4F9" w:color="auto" w:val="clear"/>
        <w:spacing w:after="140" w:before="120"/>
      </w:pPr>
      <w:r>
        <w:rPr>
          <w:rFonts w:ascii="Calibri" w:cs="Calibri" w:eastAsia="Calibri" w:hAnsi="Calibri"/>
          <w:b/>
          <w:bCs/>
          <w:color w:val="1F3864"/>
          <w:sz w:val="19"/>
          <w:szCs w:val="19"/>
        </w:rPr>
        <w:t xml:space="preserve">How to use this  </w:t>
      </w:r>
      <w:r>
        <w:rPr>
          <w:rFonts w:ascii="Calibri" w:cs="Calibri" w:eastAsia="Calibri" w:hAnsi="Calibri"/>
          <w:sz w:val="19"/>
          <w:szCs w:val="19"/>
        </w:rPr>
        <w:t xml:space="preserve">Sections 1 through 7 are procedure. Section 8 is the field checklist — print it and keep it with the equipment. Section 9 lists what to send if someone else is interpreting your data.</w:t>
      </w:r>
    </w:p>
    <w:p>
      <w:r>
        <w:br w:type="page"/>
      </w:r>
    </w:p>
    <w:p>
      <w:pPr>
        <w:pStyle w:val="Heading1"/>
        <w:pBdr>
          <w:bottom w:val="single" w:color="BFBFBF" w:sz="8" w:space="4"/>
        </w:pBdr>
        <w:spacing w:after="120" w:before="360"/>
      </w:pPr>
      <w:r>
        <w:rPr>
          <w:rFonts w:ascii="Calibri" w:cs="Calibri" w:eastAsia="Calibri" w:hAnsi="Calibri"/>
          <w:b/>
          <w:bCs/>
          <w:color w:val="1F3864"/>
          <w:sz w:val="26"/>
          <w:szCs w:val="26"/>
        </w:rPr>
        <w:t xml:space="preserve">1.  Before You Get to the Slab</w:t>
      </w:r>
    </w:p>
    <w:p>
      <w:pPr>
        <w:spacing w:after="120"/>
      </w:pPr>
      <w:r>
        <w:rPr>
          <w:rFonts w:ascii="Calibri" w:cs="Calibri" w:eastAsia="Calibri" w:hAnsi="Calibri"/>
          <w:b w:val="false"/>
          <w:bCs w:val="false"/>
          <w:i w:val="false"/>
          <w:iCs w:val="false"/>
          <w:color w:val="000000"/>
          <w:sz w:val="20"/>
          <w:szCs w:val="20"/>
        </w:rPr>
        <w:t xml:space="preserve">Ninety percent of scanning problems are decided before the antenna touches concrete. Five minutes of information gathering changes what the data is capable of showing.</w:t>
      </w:r>
    </w:p>
    <w:p>
      <w:pPr>
        <w:spacing w:after="80" w:before="220"/>
      </w:pPr>
      <w:r>
        <w:rPr>
          <w:rFonts w:ascii="Calibri" w:cs="Calibri" w:eastAsia="Calibri" w:hAnsi="Calibri"/>
          <w:b/>
          <w:bCs/>
          <w:color w:val="1B1B1B"/>
          <w:sz w:val="22"/>
          <w:szCs w:val="22"/>
        </w:rPr>
        <w:t xml:space="preserve">Establish the structure type</w:t>
      </w:r>
    </w:p>
    <w:p>
      <w:pPr>
        <w:spacing w:after="120"/>
      </w:pPr>
      <w:r>
        <w:rPr>
          <w:rFonts w:ascii="Calibri" w:cs="Calibri" w:eastAsia="Calibri" w:hAnsi="Calibri"/>
          <w:b w:val="false"/>
          <w:bCs w:val="false"/>
          <w:i w:val="false"/>
          <w:iCs w:val="false"/>
          <w:color w:val="000000"/>
          <w:sz w:val="20"/>
          <w:szCs w:val="20"/>
        </w:rPr>
        <w:t xml:space="preserve">This is the single most consequential question, because it determines the risk profile and how you read the data.</w:t>
      </w:r>
    </w:p>
    <w:p>
      <w:pPr>
        <w:pStyle w:val="ListParagraph"/>
        <w:numPr>
          <w:ilvl w:val="0"/>
          <w:numId w:val="2"/>
        </w:numPr>
        <w:spacing w:after="70"/>
      </w:pPr>
      <w:r>
        <w:rPr>
          <w:rFonts w:ascii="Calibri" w:cs="Calibri" w:eastAsia="Calibri" w:hAnsi="Calibri"/>
          <w:sz w:val="20"/>
          <w:szCs w:val="20"/>
        </w:rPr>
        <w:t xml:space="preserve">Post-tensioned: tendons are draped, run in a defined direction, and a strike can be catastrophic. Treat as PT until proven otherwise.</w:t>
      </w:r>
    </w:p>
    <w:p>
      <w:pPr>
        <w:pStyle w:val="ListParagraph"/>
        <w:numPr>
          <w:ilvl w:val="0"/>
          <w:numId w:val="2"/>
        </w:numPr>
        <w:spacing w:after="70"/>
      </w:pPr>
      <w:r>
        <w:rPr>
          <w:rFonts w:ascii="Calibri" w:cs="Calibri" w:eastAsia="Calibri" w:hAnsi="Calibri"/>
          <w:sz w:val="20"/>
          <w:szCs w:val="20"/>
        </w:rPr>
        <w:t xml:space="preserve">Conventionally reinforced: uniform mat at consistent depth. Lower consequence, but conduit still hides in it.</w:t>
      </w:r>
    </w:p>
    <w:p>
      <w:pPr>
        <w:pStyle w:val="ListParagraph"/>
        <w:numPr>
          <w:ilvl w:val="0"/>
          <w:numId w:val="2"/>
        </w:numPr>
        <w:spacing w:after="70"/>
      </w:pPr>
      <w:r>
        <w:rPr>
          <w:rFonts w:ascii="Calibri" w:cs="Calibri" w:eastAsia="Calibri" w:hAnsi="Calibri"/>
          <w:sz w:val="20"/>
          <w:szCs w:val="20"/>
        </w:rPr>
        <w:t xml:space="preserve">Composite metal deck: flutes dominate the record and limit penetration below the deck.</w:t>
      </w:r>
    </w:p>
    <w:p>
      <w:pPr>
        <w:pStyle w:val="ListParagraph"/>
        <w:numPr>
          <w:ilvl w:val="0"/>
          <w:numId w:val="2"/>
        </w:numPr>
        <w:spacing w:after="70"/>
      </w:pPr>
      <w:r>
        <w:rPr>
          <w:rFonts w:ascii="Calibri" w:cs="Calibri" w:eastAsia="Calibri" w:hAnsi="Calibri"/>
          <w:sz w:val="20"/>
          <w:szCs w:val="20"/>
        </w:rPr>
        <w:t xml:space="preserve">Slab on grade: reinforcement is often minimal, but utilities may run directly beneath.</w:t>
      </w:r>
    </w:p>
    <w:p>
      <w:pPr>
        <w:pBdr>
          <w:top w:val="single" w:color="F1F4F9" w:sz="2" w:space="6"/>
          <w:bottom w:val="single" w:color="F1F4F9" w:sz="2" w:space="6"/>
          <w:left w:val="single" w:color="1F3864" w:sz="18" w:space="8"/>
          <w:right w:val="single" w:color="F1F4F9" w:sz="2" w:space="6"/>
        </w:pBdr>
        <w:shd w:fill="F1F4F9" w:color="auto" w:val="clear"/>
        <w:spacing w:after="140" w:before="120"/>
      </w:pPr>
      <w:r>
        <w:rPr>
          <w:rFonts w:ascii="Calibri" w:cs="Calibri" w:eastAsia="Calibri" w:hAnsi="Calibri"/>
          <w:b/>
          <w:bCs/>
          <w:color w:val="1F3864"/>
          <w:sz w:val="19"/>
          <w:szCs w:val="19"/>
        </w:rPr>
        <w:t xml:space="preserve">If nobody knows  </w:t>
      </w:r>
      <w:r>
        <w:rPr>
          <w:rFonts w:ascii="Calibri" w:cs="Calibri" w:eastAsia="Calibri" w:hAnsi="Calibri"/>
          <w:sz w:val="19"/>
          <w:szCs w:val="19"/>
        </w:rPr>
        <w:t xml:space="preserve">Assume post-tensioned and scan accordingly. There is no cost to being wrong in that direction and there is every cost to being wrong in the other.</w:t>
      </w:r>
    </w:p>
    <w:p>
      <w:pPr>
        <w:spacing w:after="80" w:before="220"/>
      </w:pPr>
      <w:r>
        <w:rPr>
          <w:rFonts w:ascii="Calibri" w:cs="Calibri" w:eastAsia="Calibri" w:hAnsi="Calibri"/>
          <w:b/>
          <w:bCs/>
          <w:color w:val="1B1B1B"/>
          <w:sz w:val="22"/>
          <w:szCs w:val="22"/>
        </w:rPr>
        <w:t xml:space="preserve">Get the information that exists</w:t>
      </w:r>
    </w:p>
    <w:p>
      <w:pPr>
        <w:pStyle w:val="ListParagraph"/>
        <w:numPr>
          <w:ilvl w:val="0"/>
          <w:numId w:val="2"/>
        </w:numPr>
        <w:spacing w:after="70"/>
      </w:pPr>
      <w:r>
        <w:rPr>
          <w:rFonts w:ascii="Calibri" w:cs="Calibri" w:eastAsia="Calibri" w:hAnsi="Calibri"/>
          <w:sz w:val="20"/>
          <w:szCs w:val="20"/>
        </w:rPr>
        <w:t xml:space="preserve">Structural drawings, shop drawings, or tendon layout drawings, even if outdated</w:t>
      </w:r>
    </w:p>
    <w:p>
      <w:pPr>
        <w:pStyle w:val="ListParagraph"/>
        <w:numPr>
          <w:ilvl w:val="0"/>
          <w:numId w:val="2"/>
        </w:numPr>
        <w:spacing w:after="70"/>
      </w:pPr>
      <w:r>
        <w:rPr>
          <w:rFonts w:ascii="Calibri" w:cs="Calibri" w:eastAsia="Calibri" w:hAnsi="Calibri"/>
          <w:sz w:val="20"/>
          <w:szCs w:val="20"/>
        </w:rPr>
        <w:t xml:space="preserve">Slab thickness — needed for calibration and for stating effective scan depth</w:t>
      </w:r>
    </w:p>
    <w:p>
      <w:pPr>
        <w:pStyle w:val="ListParagraph"/>
        <w:numPr>
          <w:ilvl w:val="0"/>
          <w:numId w:val="2"/>
        </w:numPr>
        <w:spacing w:after="70"/>
      </w:pPr>
      <w:r>
        <w:rPr>
          <w:rFonts w:ascii="Calibri" w:cs="Calibri" w:eastAsia="Calibri" w:hAnsi="Calibri"/>
          <w:sz w:val="20"/>
          <w:szCs w:val="20"/>
        </w:rPr>
        <w:t xml:space="preserve">Age of the pour. Concrete under 28 days is wet, and wet concrete attenuates signal</w:t>
      </w:r>
    </w:p>
    <w:p>
      <w:pPr>
        <w:pStyle w:val="ListParagraph"/>
        <w:numPr>
          <w:ilvl w:val="0"/>
          <w:numId w:val="2"/>
        </w:numPr>
        <w:spacing w:after="70"/>
      </w:pPr>
      <w:r>
        <w:rPr>
          <w:rFonts w:ascii="Calibri" w:cs="Calibri" w:eastAsia="Calibri" w:hAnsi="Calibri"/>
          <w:sz w:val="20"/>
          <w:szCs w:val="20"/>
        </w:rPr>
        <w:t xml:space="preserve">What the client is actually doing: core diameter, depth, and whether it is a through-penetration or a shallow anchor</w:t>
      </w:r>
    </w:p>
    <w:p>
      <w:pPr>
        <w:pStyle w:val="ListParagraph"/>
        <w:numPr>
          <w:ilvl w:val="0"/>
          <w:numId w:val="2"/>
        </w:numPr>
        <w:spacing w:after="70"/>
      </w:pPr>
      <w:r>
        <w:rPr>
          <w:rFonts w:ascii="Calibri" w:cs="Calibri" w:eastAsia="Calibri" w:hAnsi="Calibri"/>
          <w:sz w:val="20"/>
          <w:szCs w:val="20"/>
        </w:rPr>
        <w:t xml:space="preserve">Whether the layout is final. Scanning before layout is finished means scanning twice</w:t>
      </w:r>
    </w:p>
    <w:p>
      <w:pPr>
        <w:spacing w:after="120"/>
      </w:pPr>
      <w:r>
        <w:rPr>
          <w:rFonts w:ascii="Calibri" w:cs="Calibri" w:eastAsia="Calibri" w:hAnsi="Calibri"/>
          <w:b w:val="false"/>
          <w:bCs w:val="false"/>
          <w:i/>
          <w:iCs/>
          <w:color w:val="000000"/>
          <w:sz w:val="20"/>
          <w:szCs w:val="20"/>
        </w:rPr>
        <w:t xml:space="preserve">Drawings are background, not truth. Field conditions govern, and as-builts in this industry are wrong often enough that you should treat them as a hypothesis to test.</w:t>
      </w:r>
    </w:p>
    <w:p>
      <w:pPr>
        <w:pStyle w:val="Heading1"/>
        <w:pBdr>
          <w:bottom w:val="single" w:color="BFBFBF" w:sz="8" w:space="4"/>
        </w:pBdr>
        <w:spacing w:after="120" w:before="360"/>
      </w:pPr>
      <w:r>
        <w:rPr>
          <w:rFonts w:ascii="Calibri" w:cs="Calibri" w:eastAsia="Calibri" w:hAnsi="Calibri"/>
          <w:b/>
          <w:bCs/>
          <w:color w:val="1F3864"/>
          <w:sz w:val="26"/>
          <w:szCs w:val="26"/>
        </w:rPr>
        <w:t xml:space="preserve">2.  Antenna Selection</w:t>
      </w:r>
    </w:p>
    <w:p>
      <w:pPr>
        <w:spacing w:after="120"/>
      </w:pPr>
      <w:r>
        <w:rPr>
          <w:rFonts w:ascii="Calibri" w:cs="Calibri" w:eastAsia="Calibri" w:hAnsi="Calibri"/>
          <w:b w:val="false"/>
          <w:bCs w:val="false"/>
          <w:i w:val="false"/>
          <w:iCs w:val="false"/>
          <w:color w:val="000000"/>
          <w:sz w:val="20"/>
          <w:szCs w:val="20"/>
        </w:rPr>
        <w:t xml:space="preserve">Frequency is a trade between depth and resolution. Higher frequency resolves smaller and closer targets but does not reach as deep. Lower frequency reaches deeper and blurs detail.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100"/>
        <w:gridCol w:w="1900"/>
        <w:gridCol w:w="2000"/>
        <w:gridCol w:w="4080"/>
      </w:tblGrid>
      <w:tr>
        <w:trPr>
          <w:tblHeader/>
        </w:trPr>
        <w:tc>
          <w:tcPr>
            <w:tcW w:type="dxa" w:w="210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Antenna</w:t>
            </w:r>
          </w:p>
        </w:tc>
        <w:tc>
          <w:tcPr>
            <w:tcW w:type="dxa" w:w="190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Typical depth</w:t>
            </w:r>
          </w:p>
        </w:tc>
        <w:tc>
          <w:tcPr>
            <w:tcW w:type="dxa" w:w="200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Resolution</w:t>
            </w:r>
          </w:p>
        </w:tc>
        <w:tc>
          <w:tcPr>
            <w:tcW w:type="dxa" w:w="408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Use it for</w:t>
            </w:r>
          </w:p>
        </w:tc>
      </w:tr>
      <w:tr>
        <w:tc>
          <w:tcPr>
            <w:tcW w:type="dxa" w:w="21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2.6 – 2.7 GHz</w:t>
            </w:r>
          </w:p>
        </w:tc>
        <w:tc>
          <w:tcPr>
            <w:tcW w:type="dxa" w:w="19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0 – 12 in</w:t>
            </w:r>
          </w:p>
        </w:tc>
        <w:tc>
          <w:tcPr>
            <w:tcW w:type="dxa" w:w="20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Highest</w:t>
            </w:r>
          </w:p>
        </w:tc>
        <w:tc>
          <w:tcPr>
            <w:tcW w:type="dxa" w:w="4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Thin slabs, tight rebar spacing, shallow conduit, separating closely spaced targets</w:t>
            </w:r>
          </w:p>
        </w:tc>
      </w:tr>
      <w:tr>
        <w:tc>
          <w:tcPr>
            <w:tcW w:type="dxa" w:w="21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1.6 GHz</w:t>
            </w:r>
          </w:p>
        </w:tc>
        <w:tc>
          <w:tcPr>
            <w:tcW w:type="dxa" w:w="19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0 – 18 in</w:t>
            </w:r>
          </w:p>
        </w:tc>
        <w:tc>
          <w:tcPr>
            <w:tcW w:type="dxa" w:w="20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High</w:t>
            </w:r>
          </w:p>
        </w:tc>
        <w:tc>
          <w:tcPr>
            <w:tcW w:type="dxa" w:w="4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General concrete scanning. The default for slab coring and anchor clearance</w:t>
            </w:r>
          </w:p>
        </w:tc>
      </w:tr>
      <w:tr>
        <w:tc>
          <w:tcPr>
            <w:tcW w:type="dxa" w:w="21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900 MHz – 1 GHz</w:t>
            </w:r>
          </w:p>
        </w:tc>
        <w:tc>
          <w:tcPr>
            <w:tcW w:type="dxa" w:w="19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0 – 24 in</w:t>
            </w:r>
          </w:p>
        </w:tc>
        <w:tc>
          <w:tcPr>
            <w:tcW w:type="dxa" w:w="20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Moderate</w:t>
            </w:r>
          </w:p>
        </w:tc>
        <w:tc>
          <w:tcPr>
            <w:tcW w:type="dxa" w:w="4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Thick slabs, mat foundations, scanning from one face of a wall</w:t>
            </w:r>
          </w:p>
        </w:tc>
      </w:tr>
      <w:tr>
        <w:tc>
          <w:tcPr>
            <w:tcW w:type="dxa" w:w="21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400 MHz</w:t>
            </w:r>
          </w:p>
        </w:tc>
        <w:tc>
          <w:tcPr>
            <w:tcW w:type="dxa" w:w="19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2 – 8 ft</w:t>
            </w:r>
          </w:p>
        </w:tc>
        <w:tc>
          <w:tcPr>
            <w:tcW w:type="dxa" w:w="20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Low</w:t>
            </w:r>
          </w:p>
        </w:tc>
        <w:tc>
          <w:tcPr>
            <w:tcW w:type="dxa" w:w="4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Slab on grade with utilities beneath, not for embedment clearance</w:t>
            </w:r>
          </w:p>
        </w:tc>
      </w:tr>
    </w:tbl>
    <w:p>
      <w:pPr>
        <w:spacing w:after="60"/>
      </w:pPr>
      <w:r>
        <w:rPr>
          <w:rFonts w:ascii="Calibri" w:cs="Calibri" w:eastAsia="Calibri" w:hAnsi="Calibri"/>
          <w:b w:val="false"/>
          <w:bCs w:val="false"/>
          <w:i w:val="false"/>
          <w:iCs w:val="false"/>
          <w:color w:val="000000"/>
          <w:sz w:val="20"/>
          <w:szCs w:val="20"/>
        </w:rPr>
        <w:t xml:space="preserve">For nearly all core and anchor clearance work on structural slabs, 1.6 GHz is correct. Move up to 2.6 GHz when reinforcement is tight and you need to separate adjacent bars. Move down only when the slab is unusually thick.</w:t>
      </w:r>
    </w:p>
    <w:p>
      <w:pPr>
        <w:pBdr>
          <w:top w:val="single" w:color="F1F4F9" w:sz="2" w:space="6"/>
          <w:bottom w:val="single" w:color="F1F4F9" w:sz="2" w:space="6"/>
          <w:left w:val="single" w:color="1F3864" w:sz="18" w:space="8"/>
          <w:right w:val="single" w:color="F1F4F9" w:sz="2" w:space="6"/>
        </w:pBdr>
        <w:shd w:fill="F1F4F9" w:color="auto" w:val="clear"/>
        <w:spacing w:after="140" w:before="120"/>
      </w:pPr>
      <w:r>
        <w:rPr>
          <w:rFonts w:ascii="Calibri" w:cs="Calibri" w:eastAsia="Calibri" w:hAnsi="Calibri"/>
          <w:b/>
          <w:bCs/>
          <w:color w:val="1F3864"/>
          <w:sz w:val="19"/>
          <w:szCs w:val="19"/>
        </w:rPr>
        <w:t xml:space="preserve">Blind zone  </w:t>
      </w:r>
      <w:r>
        <w:rPr>
          <w:rFonts w:ascii="Calibri" w:cs="Calibri" w:eastAsia="Calibri" w:hAnsi="Calibri"/>
          <w:sz w:val="19"/>
          <w:szCs w:val="19"/>
        </w:rPr>
        <w:t xml:space="preserve">Every antenna has a shallow zone, roughly the first inch or two, where the direct wave and antenna ringing obscure returns. Very shallow targets may not image separately. Say so when you report.</w:t>
      </w:r>
    </w:p>
    <w:p>
      <w:pPr>
        <w:pStyle w:val="Heading1"/>
        <w:pBdr>
          <w:bottom w:val="single" w:color="BFBFBF" w:sz="8" w:space="4"/>
        </w:pBdr>
        <w:spacing w:after="120" w:before="360"/>
      </w:pPr>
      <w:r>
        <w:rPr>
          <w:rFonts w:ascii="Calibri" w:cs="Calibri" w:eastAsia="Calibri" w:hAnsi="Calibri"/>
          <w:b/>
          <w:bCs/>
          <w:color w:val="1F3864"/>
          <w:sz w:val="26"/>
          <w:szCs w:val="26"/>
        </w:rPr>
        <w:t xml:space="preserve">3.  Surface and Site Preparation</w:t>
      </w:r>
    </w:p>
    <w:p>
      <w:pPr>
        <w:spacing w:after="120"/>
      </w:pPr>
      <w:r>
        <w:rPr>
          <w:rFonts w:ascii="Calibri" w:cs="Calibri" w:eastAsia="Calibri" w:hAnsi="Calibri"/>
          <w:b w:val="false"/>
          <w:bCs w:val="false"/>
          <w:i w:val="false"/>
          <w:iCs w:val="false"/>
          <w:color w:val="000000"/>
          <w:sz w:val="20"/>
          <w:szCs w:val="20"/>
        </w:rPr>
        <w:t xml:space="preserve">The antenna must stay coupled to the surface. Anything that breaks contact degrades the record.</w:t>
      </w:r>
    </w:p>
    <w:p>
      <w:pPr>
        <w:pStyle w:val="ListParagraph"/>
        <w:numPr>
          <w:ilvl w:val="0"/>
          <w:numId w:val="3"/>
        </w:numPr>
        <w:spacing w:after="70"/>
      </w:pPr>
      <w:r>
        <w:rPr>
          <w:rFonts w:ascii="Calibri" w:cs="Calibri" w:eastAsia="Calibri" w:hAnsi="Calibri"/>
          <w:sz w:val="20"/>
          <w:szCs w:val="20"/>
        </w:rPr>
        <w:t xml:space="preserve">Sweep the area. Grit and debris lift the antenna and introduce noise.</w:t>
      </w:r>
    </w:p>
    <w:p>
      <w:pPr>
        <w:pStyle w:val="ListParagraph"/>
        <w:numPr>
          <w:ilvl w:val="0"/>
          <w:numId w:val="3"/>
        </w:numPr>
        <w:spacing w:after="70"/>
      </w:pPr>
      <w:r>
        <w:rPr>
          <w:rFonts w:ascii="Calibri" w:cs="Calibri" w:eastAsia="Calibri" w:hAnsi="Calibri"/>
          <w:sz w:val="20"/>
          <w:szCs w:val="20"/>
        </w:rPr>
        <w:t xml:space="preserve">Remove standing water. Free water on the surface will attenuate and ring.</w:t>
      </w:r>
    </w:p>
    <w:p>
      <w:pPr>
        <w:pStyle w:val="ListParagraph"/>
        <w:numPr>
          <w:ilvl w:val="0"/>
          <w:numId w:val="3"/>
        </w:numPr>
        <w:spacing w:after="70"/>
      </w:pPr>
      <w:r>
        <w:rPr>
          <w:rFonts w:ascii="Calibri" w:cs="Calibri" w:eastAsia="Calibri" w:hAnsi="Calibri"/>
          <w:sz w:val="20"/>
          <w:szCs w:val="20"/>
        </w:rPr>
        <w:t xml:space="preserve">Note applied coverings. Tile, topping slabs, epoxy, and carpet reduce penetration and add an offset you must account for in depth.</w:t>
      </w:r>
    </w:p>
    <w:p>
      <w:pPr>
        <w:pStyle w:val="ListParagraph"/>
        <w:numPr>
          <w:ilvl w:val="0"/>
          <w:numId w:val="3"/>
        </w:numPr>
        <w:spacing w:after="70"/>
      </w:pPr>
      <w:r>
        <w:rPr>
          <w:rFonts w:ascii="Calibri" w:cs="Calibri" w:eastAsia="Calibri" w:hAnsi="Calibri"/>
          <w:sz w:val="20"/>
          <w:szCs w:val="20"/>
        </w:rPr>
        <w:t xml:space="preserve">Confirm the surface is stable enough to roll. Broken or spalled concrete produces false hyperbolas from surface geometry.</w:t>
      </w:r>
    </w:p>
    <w:p>
      <w:pPr>
        <w:pStyle w:val="ListParagraph"/>
        <w:numPr>
          <w:ilvl w:val="0"/>
          <w:numId w:val="3"/>
        </w:numPr>
        <w:spacing w:after="70"/>
      </w:pPr>
      <w:r>
        <w:rPr>
          <w:rFonts w:ascii="Calibri" w:cs="Calibri" w:eastAsia="Calibri" w:hAnsi="Calibri"/>
          <w:sz w:val="20"/>
          <w:szCs w:val="20"/>
        </w:rPr>
        <w:t xml:space="preserve">Identify the scan area, including a working margin beyond the proposed penetration, and clear it of stored material.</w:t>
      </w:r>
    </w:p>
    <w:p>
      <w:pPr>
        <w:pStyle w:val="Heading1"/>
        <w:pBdr>
          <w:bottom w:val="single" w:color="BFBFBF" w:sz="8" w:space="4"/>
        </w:pBdr>
        <w:spacing w:after="120" w:before="360"/>
      </w:pPr>
      <w:r>
        <w:rPr>
          <w:rFonts w:ascii="Calibri" w:cs="Calibri" w:eastAsia="Calibri" w:hAnsi="Calibri"/>
          <w:b/>
          <w:bCs/>
          <w:color w:val="1F3864"/>
          <w:sz w:val="26"/>
          <w:szCs w:val="26"/>
        </w:rPr>
        <w:t xml:space="preserve">4.  Calibration</w:t>
      </w:r>
    </w:p>
    <w:p>
      <w:pPr>
        <w:spacing w:after="120"/>
      </w:pPr>
      <w:r>
        <w:rPr>
          <w:rFonts w:ascii="Calibri" w:cs="Calibri" w:eastAsia="Calibri" w:hAnsi="Calibri"/>
          <w:b w:val="false"/>
          <w:bCs w:val="false"/>
          <w:i w:val="false"/>
          <w:iCs w:val="false"/>
          <w:color w:val="000000"/>
          <w:sz w:val="20"/>
          <w:szCs w:val="20"/>
        </w:rPr>
        <w:t xml:space="preserve">An uncalibrated depth is not a measurement. Radar measures two-way travel time; converting that to depth requires a velocity, and velocity in concrete varies with moisture, mix, and age.</w:t>
      </w:r>
    </w:p>
    <w:p>
      <w:pPr>
        <w:spacing w:after="80" w:before="220"/>
      </w:pPr>
      <w:r>
        <w:rPr>
          <w:rFonts w:ascii="Calibri" w:cs="Calibri" w:eastAsia="Calibri" w:hAnsi="Calibri"/>
          <w:b/>
          <w:bCs/>
          <w:color w:val="1B1B1B"/>
          <w:sz w:val="22"/>
          <w:szCs w:val="22"/>
        </w:rPr>
        <w:t xml:space="preserve">Two acceptable methods</w:t>
      </w:r>
    </w:p>
    <w:p>
      <w:pPr>
        <w:pStyle w:val="ListParagraph"/>
        <w:numPr>
          <w:ilvl w:val="0"/>
          <w:numId w:val="2"/>
        </w:numPr>
        <w:spacing w:after="70"/>
      </w:pPr>
      <w:r>
        <w:rPr>
          <w:rFonts w:ascii="Calibri" w:cs="Calibri" w:eastAsia="Calibri" w:hAnsi="Calibri"/>
          <w:sz w:val="20"/>
          <w:szCs w:val="20"/>
        </w:rPr>
        <w:t xml:space="preserve">Known-thickness calibration: scan at a location where the slab thickness is known — a slab edge, a previous core, an opening — and adjust velocity until the bottom-of-slab reflection reports the correct depth.</w:t>
      </w:r>
    </w:p>
    <w:p>
      <w:pPr>
        <w:pStyle w:val="ListParagraph"/>
        <w:numPr>
          <w:ilvl w:val="0"/>
          <w:numId w:val="2"/>
        </w:numPr>
        <w:spacing w:after="70"/>
      </w:pPr>
      <w:r>
        <w:rPr>
          <w:rFonts w:ascii="Calibri" w:cs="Calibri" w:eastAsia="Calibri" w:hAnsi="Calibri"/>
          <w:sz w:val="20"/>
          <w:szCs w:val="20"/>
        </w:rPr>
        <w:t xml:space="preserve">Hyperbola fitting: adjust the velocity until the fitted curve matches the shape of a hyperbola from a known target. Most modern units do this on screen.</w:t>
      </w:r>
    </w:p>
    <w:p>
      <w:pPr>
        <w:spacing w:after="60"/>
      </w:pPr>
      <w:r>
        <w:rPr>
          <w:rFonts w:ascii="Calibri" w:cs="Calibri" w:eastAsia="Calibri" w:hAnsi="Calibri"/>
          <w:b w:val="false"/>
          <w:bCs w:val="false"/>
          <w:i w:val="false"/>
          <w:iCs w:val="false"/>
          <w:color w:val="000000"/>
          <w:sz w:val="20"/>
          <w:szCs w:val="20"/>
        </w:rPr>
        <w:t xml:space="preserve">Typical velocity in cured structural concrete falls in the range of roughly 4.0 to 4.5 inches per nanosecond, corresponding to a dielectric constant of about 6 to 9. Green or saturated concrete runs slower. Use these as a sanity check, not as a substitute for calibrating on the slab you are actually scanning.</w:t>
      </w:r>
    </w:p>
    <w:p>
      <w:pPr>
        <w:pBdr>
          <w:top w:val="single" w:color="F1F4F9" w:sz="2" w:space="6"/>
          <w:bottom w:val="single" w:color="F1F4F9" w:sz="2" w:space="6"/>
          <w:left w:val="single" w:color="1F3864" w:sz="18" w:space="8"/>
          <w:right w:val="single" w:color="F1F4F9" w:sz="2" w:space="6"/>
        </w:pBdr>
        <w:shd w:fill="F1F4F9" w:color="auto" w:val="clear"/>
        <w:spacing w:after="140" w:before="120"/>
      </w:pPr>
      <w:r>
        <w:rPr>
          <w:rFonts w:ascii="Calibri" w:cs="Calibri" w:eastAsia="Calibri" w:hAnsi="Calibri"/>
          <w:b/>
          <w:bCs/>
          <w:color w:val="1F3864"/>
          <w:sz w:val="19"/>
          <w:szCs w:val="19"/>
        </w:rPr>
        <w:t xml:space="preserve">Record it  </w:t>
      </w:r>
      <w:r>
        <w:rPr>
          <w:rFonts w:ascii="Calibri" w:cs="Calibri" w:eastAsia="Calibri" w:hAnsi="Calibri"/>
          <w:sz w:val="19"/>
          <w:szCs w:val="19"/>
        </w:rPr>
        <w:t xml:space="preserve">Write the calibration value, how you obtained it, and where. If depths are ever questioned, this note is the difference between a defensible number and an opinion.</w:t>
      </w:r>
    </w:p>
    <w:p>
      <w:pPr>
        <w:pStyle w:val="Heading1"/>
        <w:pBdr>
          <w:bottom w:val="single" w:color="BFBFBF" w:sz="8" w:space="4"/>
        </w:pBdr>
        <w:spacing w:after="120" w:before="360"/>
      </w:pPr>
      <w:r>
        <w:rPr>
          <w:rFonts w:ascii="Calibri" w:cs="Calibri" w:eastAsia="Calibri" w:hAnsi="Calibri"/>
          <w:b/>
          <w:bCs/>
          <w:color w:val="1F3864"/>
          <w:sz w:val="26"/>
          <w:szCs w:val="26"/>
        </w:rPr>
        <w:t xml:space="preserve">5.  Scan Pattern</w:t>
      </w:r>
    </w:p>
    <w:p>
      <w:pPr>
        <w:spacing w:after="120"/>
      </w:pPr>
      <w:r>
        <w:rPr>
          <w:rFonts w:ascii="Calibri" w:cs="Calibri" w:eastAsia="Calibri" w:hAnsi="Calibri"/>
          <w:b w:val="false"/>
          <w:bCs w:val="false"/>
          <w:i w:val="false"/>
          <w:iCs w:val="false"/>
          <w:color w:val="000000"/>
          <w:sz w:val="20"/>
          <w:szCs w:val="20"/>
        </w:rPr>
        <w:t xml:space="preserve">This is where most data is lost, and the reason is simple geometry: a linear target produces a hyperbola only when you cross it. Scan parallel to a tendon and it is invisible.</w:t>
      </w:r>
    </w:p>
    <w:p>
      <w:pPr>
        <w:spacing w:after="80" w:before="220"/>
      </w:pPr>
      <w:r>
        <w:rPr>
          <w:rFonts w:ascii="Calibri" w:cs="Calibri" w:eastAsia="Calibri" w:hAnsi="Calibri"/>
          <w:b/>
          <w:bCs/>
          <w:color w:val="1B1B1B"/>
          <w:sz w:val="22"/>
          <w:szCs w:val="22"/>
        </w:rPr>
        <w:t xml:space="preserve">The rule</w:t>
      </w:r>
    </w:p>
    <w:p>
      <w:pPr>
        <w:spacing w:after="120"/>
      </w:pPr>
      <w:r>
        <w:rPr>
          <w:rFonts w:ascii="Calibri" w:cs="Calibri" w:eastAsia="Calibri" w:hAnsi="Calibri"/>
          <w:b/>
          <w:bCs/>
          <w:i w:val="false"/>
          <w:iCs w:val="false"/>
          <w:color w:val="000000"/>
          <w:sz w:val="20"/>
          <w:szCs w:val="20"/>
        </w:rPr>
        <w:t xml:space="preserve">Every location gets orthogonal passes. Scan the full area in one direction, then scan the full area again at ninety degrees. No exceptions, no matter how obvious the reinforcement pattern looks in the first direction.</w:t>
      </w:r>
    </w:p>
    <w:p>
      <w:pPr>
        <w:spacing w:after="80" w:before="220"/>
      </w:pPr>
      <w:r>
        <w:rPr>
          <w:rFonts w:ascii="Calibri" w:cs="Calibri" w:eastAsia="Calibri" w:hAnsi="Calibri"/>
          <w:b/>
          <w:bCs/>
          <w:color w:val="1B1B1B"/>
          <w:sz w:val="22"/>
          <w:szCs w:val="22"/>
        </w:rPr>
        <w:t xml:space="preserve">Spacing and extent</w:t>
      </w:r>
    </w:p>
    <w:p>
      <w:pPr>
        <w:pStyle w:val="ListParagraph"/>
        <w:numPr>
          <w:ilvl w:val="0"/>
          <w:numId w:val="2"/>
        </w:numPr>
        <w:spacing w:after="70"/>
      </w:pPr>
      <w:r>
        <w:rPr>
          <w:rFonts w:ascii="Calibri" w:cs="Calibri" w:eastAsia="Calibri" w:hAnsi="Calibri"/>
          <w:sz w:val="20"/>
          <w:szCs w:val="20"/>
        </w:rPr>
        <w:t xml:space="preserve">Line spacing of 2 to 4 inches for clearance work. Tighter where reinforcement is congested or targets must be separated.</w:t>
      </w:r>
    </w:p>
    <w:p>
      <w:pPr>
        <w:pStyle w:val="ListParagraph"/>
        <w:numPr>
          <w:ilvl w:val="0"/>
          <w:numId w:val="2"/>
        </w:numPr>
        <w:spacing w:after="70"/>
      </w:pPr>
      <w:r>
        <w:rPr>
          <w:rFonts w:ascii="Calibri" w:cs="Calibri" w:eastAsia="Calibri" w:hAnsi="Calibri"/>
          <w:sz w:val="20"/>
          <w:szCs w:val="20"/>
        </w:rPr>
        <w:t xml:space="preserve">Extend every pass at least 6 inches beyond the proposed penetration footprint on all sides. A clipped hyperbola cannot be identified or depth-corrected.</w:t>
      </w:r>
    </w:p>
    <w:p>
      <w:pPr>
        <w:pStyle w:val="ListParagraph"/>
        <w:numPr>
          <w:ilvl w:val="0"/>
          <w:numId w:val="2"/>
        </w:numPr>
        <w:spacing w:after="70"/>
      </w:pPr>
      <w:r>
        <w:rPr>
          <w:rFonts w:ascii="Calibri" w:cs="Calibri" w:eastAsia="Calibri" w:hAnsi="Calibri"/>
          <w:sz w:val="20"/>
          <w:szCs w:val="20"/>
        </w:rPr>
        <w:t xml:space="preserve">Run each pass at a steady rate with continuous surface contact. Lifting mid-pass creates a gap you will not notice until interpretation.</w:t>
      </w:r>
    </w:p>
    <w:p>
      <w:pPr>
        <w:pStyle w:val="ListParagraph"/>
        <w:numPr>
          <w:ilvl w:val="0"/>
          <w:numId w:val="2"/>
        </w:numPr>
        <w:spacing w:after="70"/>
      </w:pPr>
      <w:r>
        <w:rPr>
          <w:rFonts w:ascii="Calibri" w:cs="Calibri" w:eastAsia="Calibri" w:hAnsi="Calibri"/>
          <w:sz w:val="20"/>
          <w:szCs w:val="20"/>
        </w:rPr>
        <w:t xml:space="preserve">Where a target's direction is uncertain, add diagonal passes. Diagonals resolve ambiguity that orthogonal passes alone can leave.</w:t>
      </w:r>
    </w:p>
    <w:p>
      <w:pPr>
        <w:spacing w:after="80" w:before="220"/>
      </w:pPr>
      <w:r>
        <w:rPr>
          <w:rFonts w:ascii="Calibri" w:cs="Calibri" w:eastAsia="Calibri" w:hAnsi="Calibri"/>
          <w:b/>
          <w:bCs/>
          <w:color w:val="1B1B1B"/>
          <w:sz w:val="22"/>
          <w:szCs w:val="22"/>
        </w:rPr>
        <w:t xml:space="preserve">Post-tensioned slabs specifically</w:t>
      </w:r>
    </w:p>
    <w:p>
      <w:pPr>
        <w:spacing w:after="120"/>
      </w:pPr>
      <w:r>
        <w:rPr>
          <w:rFonts w:ascii="Calibri" w:cs="Calibri" w:eastAsia="Calibri" w:hAnsi="Calibri"/>
          <w:b w:val="false"/>
          <w:bCs w:val="false"/>
          <w:i w:val="false"/>
          <w:iCs w:val="false"/>
          <w:color w:val="000000"/>
          <w:sz w:val="20"/>
          <w:szCs w:val="20"/>
        </w:rPr>
        <w:t xml:space="preserve">Tendons are draped: deep at midspan, rising toward supports and anchorages. Depth changes as you move along the span, and that variation is the identifying signature that separates a tendon from rebar. Scan far enough along the span to see the change.</w:t>
      </w:r>
    </w:p>
    <w:p>
      <w:pPr>
        <w:pBdr>
          <w:top w:val="single" w:color="F1F4F9" w:sz="2" w:space="6"/>
          <w:bottom w:val="single" w:color="F1F4F9" w:sz="2" w:space="6"/>
          <w:left w:val="single" w:color="1F3864" w:sz="18" w:space="8"/>
          <w:right w:val="single" w:color="F1F4F9" w:sz="2" w:space="6"/>
        </w:pBdr>
        <w:shd w:fill="F1F4F9" w:color="auto" w:val="clear"/>
        <w:spacing w:after="140" w:before="120"/>
      </w:pPr>
      <w:r>
        <w:rPr>
          <w:rFonts w:ascii="Calibri" w:cs="Calibri" w:eastAsia="Calibri" w:hAnsi="Calibri"/>
          <w:b/>
          <w:bCs/>
          <w:color w:val="1F3864"/>
          <w:sz w:val="19"/>
          <w:szCs w:val="19"/>
        </w:rPr>
        <w:t xml:space="preserve">Anchorage zones  </w:t>
      </w:r>
      <w:r>
        <w:rPr>
          <w:rFonts w:ascii="Calibri" w:cs="Calibri" w:eastAsia="Calibri" w:hAnsi="Calibri"/>
          <w:sz w:val="19"/>
          <w:szCs w:val="19"/>
        </w:rPr>
        <w:t xml:space="preserve">Near columns and slab edges, tendons converge and rise. These areas carry the highest strike consequence and the most congested returns. Scan them wider and, where the consequence is severe, recommend an independent verification method.</w:t>
      </w:r>
    </w:p>
    <w:p>
      <w:pPr>
        <w:pStyle w:val="Heading1"/>
        <w:pBdr>
          <w:bottom w:val="single" w:color="BFBFBF" w:sz="8" w:space="4"/>
        </w:pBdr>
        <w:spacing w:after="120" w:before="360"/>
      </w:pPr>
      <w:r>
        <w:rPr>
          <w:rFonts w:ascii="Calibri" w:cs="Calibri" w:eastAsia="Calibri" w:hAnsi="Calibri"/>
          <w:b/>
          <w:bCs/>
          <w:color w:val="1F3864"/>
          <w:sz w:val="26"/>
          <w:szCs w:val="26"/>
        </w:rPr>
        <w:t xml:space="preserve">6.  Reading and Marking</w:t>
      </w:r>
    </w:p>
    <w:p>
      <w:pPr>
        <w:spacing w:after="120"/>
      </w:pPr>
      <w:r>
        <w:rPr>
          <w:rFonts w:ascii="Calibri" w:cs="Calibri" w:eastAsia="Calibri" w:hAnsi="Calibri"/>
          <w:b w:val="false"/>
          <w:bCs w:val="false"/>
          <w:i w:val="false"/>
          <w:iCs w:val="false"/>
          <w:color w:val="000000"/>
          <w:sz w:val="20"/>
          <w:szCs w:val="20"/>
        </w:rPr>
        <w:t xml:space="preserve">Interpretation happens in the field, on the slab, in front of the person who will do the coring. What you mark is your deliverable.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00"/>
        <w:gridCol w:w="3200"/>
        <w:gridCol w:w="4380"/>
      </w:tblGrid>
      <w:tr>
        <w:trPr>
          <w:tblHeader/>
        </w:trPr>
        <w:tc>
          <w:tcPr>
            <w:tcW w:type="dxa" w:w="250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Target</w:t>
            </w:r>
          </w:p>
        </w:tc>
        <w:tc>
          <w:tcPr>
            <w:tcW w:type="dxa" w:w="320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How it appears</w:t>
            </w:r>
          </w:p>
        </w:tc>
        <w:tc>
          <w:tcPr>
            <w:tcW w:type="dxa" w:w="438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What it means</w:t>
            </w:r>
          </w:p>
        </w:tc>
      </w:tr>
      <w:tr>
        <w:tc>
          <w:tcPr>
            <w:tcW w:type="dxa" w:w="25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Conventional rebar</w:t>
            </w:r>
          </w:p>
        </w:tc>
        <w:tc>
          <w:tcPr>
            <w:tcW w:type="dxa" w:w="32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Regular hyperbolas at uniform depth, evenly spaced, both directions</w:t>
            </w:r>
          </w:p>
        </w:tc>
        <w:tc>
          <w:tcPr>
            <w:tcW w:type="dxa" w:w="43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Reinforcing mat. Depth constant across the span</w:t>
            </w:r>
          </w:p>
        </w:tc>
      </w:tr>
      <w:tr>
        <w:tc>
          <w:tcPr>
            <w:tcW w:type="dxa" w:w="25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Post-tension tendon</w:t>
            </w:r>
          </w:p>
        </w:tc>
        <w:tc>
          <w:tcPr>
            <w:tcW w:type="dxa" w:w="32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Fewer, larger hyperbolas at varying depth; deep at midspan, rising toward supports</w:t>
            </w:r>
          </w:p>
        </w:tc>
        <w:tc>
          <w:tcPr>
            <w:tcW w:type="dxa" w:w="43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Draped profile. Depth changes as you move along the span — this is the identifying feature</w:t>
            </w:r>
          </w:p>
        </w:tc>
      </w:tr>
      <w:tr>
        <w:tc>
          <w:tcPr>
            <w:tcW w:type="dxa" w:w="25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Electrical conduit</w:t>
            </w:r>
          </w:p>
        </w:tc>
        <w:tc>
          <w:tcPr>
            <w:tcW w:type="dxa" w:w="32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Isolated hyperbola, often deeper than the top mat, may run diagonally</w:t>
            </w:r>
          </w:p>
        </w:tc>
        <w:tc>
          <w:tcPr>
            <w:tcW w:type="dxa" w:w="43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Not part of the reinforcing pattern. Treat as a strike hazard</w:t>
            </w:r>
          </w:p>
        </w:tc>
      </w:tr>
      <w:tr>
        <w:tc>
          <w:tcPr>
            <w:tcW w:type="dxa" w:w="25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Metal deck flutes</w:t>
            </w:r>
          </w:p>
        </w:tc>
        <w:tc>
          <w:tcPr>
            <w:tcW w:type="dxa" w:w="32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Strong repeating reflection at a constant shallow depth</w:t>
            </w:r>
          </w:p>
        </w:tc>
        <w:tc>
          <w:tcPr>
            <w:tcW w:type="dxa" w:w="43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Composite slab. Limits penetration below the deck</w:t>
            </w:r>
          </w:p>
        </w:tc>
      </w:tr>
      <w:tr>
        <w:tc>
          <w:tcPr>
            <w:tcW w:type="dxa" w:w="25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Void or delamination</w:t>
            </w:r>
          </w:p>
        </w:tc>
        <w:tc>
          <w:tcPr>
            <w:tcW w:type="dxa" w:w="320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Broad, flat, high-amplitude reflection with phase reversal</w:t>
            </w:r>
          </w:p>
        </w:tc>
        <w:tc>
          <w:tcPr>
            <w:tcW w:type="dxa" w:w="43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Requires interpretation. Do not call from a single pass</w:t>
            </w:r>
          </w:p>
        </w:tc>
      </w:tr>
    </w:tbl>
    <w:p>
      <w:pPr>
        <w:spacing w:after="80" w:before="220"/>
      </w:pPr>
      <w:r>
        <w:rPr>
          <w:rFonts w:ascii="Calibri" w:cs="Calibri" w:eastAsia="Calibri" w:hAnsi="Calibri"/>
          <w:b/>
          <w:bCs/>
          <w:color w:val="1B1B1B"/>
          <w:sz w:val="22"/>
          <w:szCs w:val="22"/>
        </w:rPr>
        <w:t xml:space="preserve">Marking convention</w:t>
      </w:r>
    </w:p>
    <w:p>
      <w:pPr>
        <w:spacing w:after="120"/>
      </w:pPr>
      <w:r>
        <w:rPr>
          <w:rFonts w:ascii="Calibri" w:cs="Calibri" w:eastAsia="Calibri" w:hAnsi="Calibri"/>
          <w:b w:val="false"/>
          <w:bCs w:val="false"/>
          <w:i w:val="false"/>
          <w:iCs w:val="false"/>
          <w:color w:val="000000"/>
          <w:sz w:val="20"/>
          <w:szCs w:val="20"/>
        </w:rPr>
        <w:t xml:space="preserve">Use one convention and use it on every job. Inconsistency between crews is a claim waiting to happen.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00"/>
        <w:gridCol w:w="8080"/>
      </w:tblGrid>
      <w:tr>
        <w:trPr>
          <w:tblHeader/>
        </w:trPr>
        <w:tc>
          <w:tcPr>
            <w:tcW w:type="dxa" w:w="200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Marking</w:t>
            </w:r>
          </w:p>
        </w:tc>
        <w:tc>
          <w:tcPr>
            <w:tcW w:type="dxa" w:w="8080"/>
            <w:shd w:fill="1F3864" w:color="auto" w:val="clear"/>
            <w:tcMar>
              <w:top w:type="dxa" w:w="60"/>
              <w:left w:type="dxa" w:w="100"/>
              <w:bottom w:type="dxa" w:w="60"/>
              <w:right w:type="dxa" w:w="100"/>
            </w:tcMar>
          </w:tcPr>
          <w:p>
            <w:pPr>
              <w:spacing w:after="0"/>
            </w:pPr>
            <w:r>
              <w:rPr>
                <w:rFonts w:ascii="Calibri" w:cs="Calibri" w:eastAsia="Calibri" w:hAnsi="Calibri"/>
                <w:b/>
                <w:bCs/>
                <w:color w:val="FFFFFF"/>
                <w:sz w:val="18"/>
                <w:szCs w:val="18"/>
              </w:rPr>
              <w:t xml:space="preserve">Meaning</w:t>
            </w:r>
          </w:p>
        </w:tc>
      </w:tr>
      <w:tr>
        <w:tc>
          <w:tcPr>
            <w:tcW w:type="dxa" w:w="20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Red</w:t>
            </w:r>
          </w:p>
        </w:tc>
        <w:tc>
          <w:tcPr>
            <w:tcW w:type="dxa" w:w="8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Suspected post-tension tendon or live electrical conduit. Do not core</w:t>
            </w:r>
          </w:p>
        </w:tc>
      </w:tr>
      <w:tr>
        <w:tc>
          <w:tcPr>
            <w:tcW w:type="dxa" w:w="20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Orange</w:t>
            </w:r>
          </w:p>
        </w:tc>
        <w:tc>
          <w:tcPr>
            <w:tcW w:type="dxa" w:w="8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Metallic anomaly of undetermined type. Treat as a conflict</w:t>
            </w:r>
          </w:p>
        </w:tc>
      </w:tr>
      <w:tr>
        <w:tc>
          <w:tcPr>
            <w:tcW w:type="dxa" w:w="20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Blue</w:t>
            </w:r>
          </w:p>
        </w:tc>
        <w:tc>
          <w:tcPr>
            <w:tcW w:type="dxa" w:w="8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Conventional reinforcing steel</w:t>
            </w:r>
          </w:p>
        </w:tc>
      </w:tr>
      <w:tr>
        <w:tc>
          <w:tcPr>
            <w:tcW w:type="dxa" w:w="20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Green box</w:t>
            </w:r>
          </w:p>
        </w:tc>
        <w:tc>
          <w:tcPr>
            <w:tcW w:type="dxa" w:w="8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Clear zone. No anomaly detected within the marked area to the stated depth</w:t>
            </w:r>
          </w:p>
        </w:tc>
      </w:tr>
      <w:tr>
        <w:tc>
          <w:tcPr>
            <w:tcW w:type="dxa" w:w="2000"/>
            <w:tcMar>
              <w:top w:type="dxa" w:w="60"/>
              <w:left w:type="dxa" w:w="100"/>
              <w:bottom w:type="dxa" w:w="60"/>
              <w:right w:type="dxa" w:w="100"/>
            </w:tcMar>
          </w:tcPr>
          <w:p>
            <w:pPr>
              <w:spacing w:after="0"/>
            </w:pPr>
            <w:r>
              <w:rPr>
                <w:rFonts w:ascii="Calibri" w:cs="Calibri" w:eastAsia="Calibri" w:hAnsi="Calibri"/>
                <w:b/>
                <w:bCs/>
                <w:color w:val="000000"/>
                <w:sz w:val="18"/>
                <w:szCs w:val="18"/>
              </w:rPr>
              <w:t xml:space="preserve">Black outline</w:t>
            </w:r>
          </w:p>
        </w:tc>
        <w:tc>
          <w:tcPr>
            <w:tcW w:type="dxa" w:w="8080"/>
            <w:tcMar>
              <w:top w:type="dxa" w:w="60"/>
              <w:left w:type="dxa" w:w="100"/>
              <w:bottom w:type="dxa" w:w="60"/>
              <w:right w:type="dxa" w:w="100"/>
            </w:tcMar>
          </w:tcPr>
          <w:p>
            <w:pPr>
              <w:spacing w:after="0"/>
            </w:pPr>
            <w:r>
              <w:rPr>
                <w:rFonts w:ascii="Calibri" w:cs="Calibri" w:eastAsia="Calibri" w:hAnsi="Calibri"/>
                <w:b w:val="false"/>
                <w:bCs w:val="false"/>
                <w:color w:val="000000"/>
                <w:sz w:val="18"/>
                <w:szCs w:val="18"/>
              </w:rPr>
              <w:t xml:space="preserve">Limit of the area actually scanned</w:t>
            </w:r>
          </w:p>
        </w:tc>
      </w:tr>
    </w:tbl>
    <w:p>
      <w:pPr>
        <w:spacing w:after="120"/>
      </w:pPr>
      <w:r>
        <w:rPr>
          <w:rFonts w:ascii="Calibri" w:cs="Calibri" w:eastAsia="Calibri" w:hAnsi="Calibri"/>
          <w:b/>
          <w:bCs/>
          <w:i w:val="false"/>
          <w:iCs w:val="false"/>
          <w:color w:val="000000"/>
          <w:sz w:val="20"/>
          <w:szCs w:val="20"/>
        </w:rPr>
        <w:t xml:space="preserve">Mark the limit of the area you actually scanned. An unmarked area next to a green clear zone reads to a contractor as cleared, and it is not.</w:t>
      </w:r>
    </w:p>
    <w:p>
      <w:pPr>
        <w:pStyle w:val="Heading1"/>
        <w:pBdr>
          <w:bottom w:val="single" w:color="BFBFBF" w:sz="8" w:space="4"/>
        </w:pBdr>
        <w:spacing w:after="120" w:before="360"/>
      </w:pPr>
      <w:r>
        <w:rPr>
          <w:rFonts w:ascii="Calibri" w:cs="Calibri" w:eastAsia="Calibri" w:hAnsi="Calibri"/>
          <w:b/>
          <w:bCs/>
          <w:color w:val="1F3864"/>
          <w:sz w:val="26"/>
          <w:szCs w:val="26"/>
        </w:rPr>
        <w:t xml:space="preserve">7.  Documentation</w:t>
      </w:r>
    </w:p>
    <w:p>
      <w:pPr>
        <w:spacing w:after="120"/>
      </w:pPr>
      <w:r>
        <w:rPr>
          <w:rFonts w:ascii="Calibri" w:cs="Calibri" w:eastAsia="Calibri" w:hAnsi="Calibri"/>
          <w:b w:val="false"/>
          <w:bCs w:val="false"/>
          <w:i w:val="false"/>
          <w:iCs w:val="false"/>
          <w:color w:val="000000"/>
          <w:sz w:val="20"/>
          <w:szCs w:val="20"/>
        </w:rPr>
        <w:t xml:space="preserve">Marks get walked on, painted over, and washed away. Documentation is what survives, and it is the only record if the job is ever questioned.</w:t>
      </w:r>
    </w:p>
    <w:p>
      <w:pPr>
        <w:spacing w:after="80" w:before="220"/>
      </w:pPr>
      <w:r>
        <w:rPr>
          <w:rFonts w:ascii="Calibri" w:cs="Calibri" w:eastAsia="Calibri" w:hAnsi="Calibri"/>
          <w:b/>
          <w:bCs/>
          <w:color w:val="1B1B1B"/>
          <w:sz w:val="22"/>
          <w:szCs w:val="22"/>
        </w:rPr>
        <w:t xml:space="preserve">Tie the scan to something permanent</w:t>
      </w:r>
    </w:p>
    <w:p>
      <w:pPr>
        <w:spacing w:after="120"/>
      </w:pPr>
      <w:r>
        <w:rPr>
          <w:rFonts w:ascii="Calibri" w:cs="Calibri" w:eastAsia="Calibri" w:hAnsi="Calibri"/>
          <w:b w:val="false"/>
          <w:bCs w:val="false"/>
          <w:i w:val="false"/>
          <w:iCs w:val="false"/>
          <w:color w:val="000000"/>
          <w:sz w:val="20"/>
          <w:szCs w:val="20"/>
        </w:rPr>
        <w:t xml:space="preserve">Every scan area must be dimensioned from two fixed, permanent building features — a column line, a core wall, a slab edge. Never reference temporary layout marks, stored material, or another paint mark. If the scan cannot be reproduced next week, it cannot be defended.</w:t>
      </w:r>
    </w:p>
    <w:p>
      <w:pPr>
        <w:spacing w:after="80" w:before="220"/>
      </w:pPr>
      <w:r>
        <w:rPr>
          <w:rFonts w:ascii="Calibri" w:cs="Calibri" w:eastAsia="Calibri" w:hAnsi="Calibri"/>
          <w:b/>
          <w:bCs/>
          <w:color w:val="1B1B1B"/>
          <w:sz w:val="22"/>
          <w:szCs w:val="22"/>
        </w:rPr>
        <w:t xml:space="preserve">Photographs</w:t>
      </w:r>
    </w:p>
    <w:p>
      <w:pPr>
        <w:pStyle w:val="ListParagraph"/>
        <w:numPr>
          <w:ilvl w:val="0"/>
          <w:numId w:val="2"/>
        </w:numPr>
        <w:spacing w:after="70"/>
      </w:pPr>
      <w:r>
        <w:rPr>
          <w:rFonts w:ascii="Calibri" w:cs="Calibri" w:eastAsia="Calibri" w:hAnsi="Calibri"/>
          <w:sz w:val="20"/>
          <w:szCs w:val="20"/>
        </w:rPr>
        <w:t xml:space="preserve">Wide shot showing the marked area with a recognizable permanent feature in frame</w:t>
      </w:r>
    </w:p>
    <w:p>
      <w:pPr>
        <w:pStyle w:val="ListParagraph"/>
        <w:numPr>
          <w:ilvl w:val="0"/>
          <w:numId w:val="2"/>
        </w:numPr>
        <w:spacing w:after="70"/>
      </w:pPr>
      <w:r>
        <w:rPr>
          <w:rFonts w:ascii="Calibri" w:cs="Calibri" w:eastAsia="Calibri" w:hAnsi="Calibri"/>
          <w:sz w:val="20"/>
          <w:szCs w:val="20"/>
        </w:rPr>
        <w:t xml:space="preserve">Close shot of the markings with a tape or scale in frame</w:t>
      </w:r>
    </w:p>
    <w:p>
      <w:pPr>
        <w:pStyle w:val="ListParagraph"/>
        <w:numPr>
          <w:ilvl w:val="0"/>
          <w:numId w:val="2"/>
        </w:numPr>
        <w:spacing w:after="70"/>
      </w:pPr>
      <w:r>
        <w:rPr>
          <w:rFonts w:ascii="Calibri" w:cs="Calibri" w:eastAsia="Calibri" w:hAnsi="Calibri"/>
          <w:sz w:val="20"/>
          <w:szCs w:val="20"/>
        </w:rPr>
        <w:t xml:space="preserve">A photo showing the dimension from the fixed reference to the scan area</w:t>
      </w:r>
    </w:p>
    <w:p>
      <w:pPr>
        <w:pStyle w:val="ListParagraph"/>
        <w:numPr>
          <w:ilvl w:val="0"/>
          <w:numId w:val="2"/>
        </w:numPr>
        <w:spacing w:after="70"/>
      </w:pPr>
      <w:r>
        <w:rPr>
          <w:rFonts w:ascii="Calibri" w:cs="Calibri" w:eastAsia="Calibri" w:hAnsi="Calibri"/>
          <w:sz w:val="20"/>
          <w:szCs w:val="20"/>
        </w:rPr>
        <w:t xml:space="preserve">The screen or data display at any location that required interpretation</w:t>
      </w:r>
    </w:p>
    <w:p>
      <w:pPr>
        <w:spacing w:after="80" w:before="220"/>
      </w:pPr>
      <w:r>
        <w:rPr>
          <w:rFonts w:ascii="Calibri" w:cs="Calibri" w:eastAsia="Calibri" w:hAnsi="Calibri"/>
          <w:b/>
          <w:bCs/>
          <w:color w:val="1B1B1B"/>
          <w:sz w:val="22"/>
          <w:szCs w:val="22"/>
        </w:rPr>
        <w:t xml:space="preserve">Field sketch</w:t>
      </w:r>
    </w:p>
    <w:p>
      <w:pPr>
        <w:spacing w:after="120"/>
      </w:pPr>
      <w:r>
        <w:rPr>
          <w:rFonts w:ascii="Calibri" w:cs="Calibri" w:eastAsia="Calibri" w:hAnsi="Calibri"/>
          <w:b w:val="false"/>
          <w:bCs w:val="false"/>
          <w:i w:val="false"/>
          <w:iCs w:val="false"/>
          <w:color w:val="000000"/>
          <w:sz w:val="20"/>
          <w:szCs w:val="20"/>
        </w:rPr>
        <w:t xml:space="preserve">Hand sketch is fine. It must show: level and grid reference, scan area boundaries, marked targets and clear zones, dimensions from two fixed references, north or a building orientation arrow, and the calibration value used.</w:t>
      </w:r>
    </w:p>
    <w:p>
      <w:pPr>
        <w:spacing w:after="80" w:before="220"/>
      </w:pPr>
      <w:r>
        <w:rPr>
          <w:rFonts w:ascii="Calibri" w:cs="Calibri" w:eastAsia="Calibri" w:hAnsi="Calibri"/>
          <w:b/>
          <w:bCs/>
          <w:color w:val="1B1B1B"/>
          <w:sz w:val="22"/>
          <w:szCs w:val="22"/>
        </w:rPr>
        <w:t xml:space="preserve">Written record</w:t>
      </w:r>
    </w:p>
    <w:p>
      <w:pPr>
        <w:pStyle w:val="ListParagraph"/>
        <w:numPr>
          <w:ilvl w:val="0"/>
          <w:numId w:val="2"/>
        </w:numPr>
        <w:spacing w:after="70"/>
      </w:pPr>
      <w:r>
        <w:rPr>
          <w:rFonts w:ascii="Calibri" w:cs="Calibri" w:eastAsia="Calibri" w:hAnsi="Calibri"/>
          <w:sz w:val="20"/>
          <w:szCs w:val="20"/>
        </w:rPr>
        <w:t xml:space="preserve">Date, time, weather, and surface condition</w:t>
      </w:r>
    </w:p>
    <w:p>
      <w:pPr>
        <w:pStyle w:val="ListParagraph"/>
        <w:numPr>
          <w:ilvl w:val="0"/>
          <w:numId w:val="2"/>
        </w:numPr>
        <w:spacing w:after="70"/>
      </w:pPr>
      <w:r>
        <w:rPr>
          <w:rFonts w:ascii="Calibri" w:cs="Calibri" w:eastAsia="Calibri" w:hAnsi="Calibri"/>
          <w:sz w:val="20"/>
          <w:szCs w:val="20"/>
        </w:rPr>
        <w:t xml:space="preserve">Equipment make, model, antenna frequency, and settings</w:t>
      </w:r>
    </w:p>
    <w:p>
      <w:pPr>
        <w:pStyle w:val="ListParagraph"/>
        <w:numPr>
          <w:ilvl w:val="0"/>
          <w:numId w:val="2"/>
        </w:numPr>
        <w:spacing w:after="70"/>
      </w:pPr>
      <w:r>
        <w:rPr>
          <w:rFonts w:ascii="Calibri" w:cs="Calibri" w:eastAsia="Calibri" w:hAnsi="Calibri"/>
          <w:sz w:val="20"/>
          <w:szCs w:val="20"/>
        </w:rPr>
        <w:t xml:space="preserve">Calibration method, value, and where it was taken</w:t>
      </w:r>
    </w:p>
    <w:p>
      <w:pPr>
        <w:pStyle w:val="ListParagraph"/>
        <w:numPr>
          <w:ilvl w:val="0"/>
          <w:numId w:val="2"/>
        </w:numPr>
        <w:spacing w:after="70"/>
      </w:pPr>
      <w:r>
        <w:rPr>
          <w:rFonts w:ascii="Calibri" w:cs="Calibri" w:eastAsia="Calibri" w:hAnsi="Calibri"/>
          <w:sz w:val="20"/>
          <w:szCs w:val="20"/>
        </w:rPr>
        <w:t xml:space="preserve">Slab thickness and structure type, with the source of that information</w:t>
      </w:r>
    </w:p>
    <w:p>
      <w:pPr>
        <w:pStyle w:val="ListParagraph"/>
        <w:numPr>
          <w:ilvl w:val="0"/>
          <w:numId w:val="2"/>
        </w:numPr>
        <w:spacing w:after="70"/>
      </w:pPr>
      <w:r>
        <w:rPr>
          <w:rFonts w:ascii="Calibri" w:cs="Calibri" w:eastAsia="Calibri" w:hAnsi="Calibri"/>
          <w:sz w:val="20"/>
          <w:szCs w:val="20"/>
        </w:rPr>
        <w:t xml:space="preserve">Effective scan depth achieved, and anywhere it was reduced</w:t>
      </w:r>
    </w:p>
    <w:p>
      <w:pPr>
        <w:pStyle w:val="ListParagraph"/>
        <w:numPr>
          <w:ilvl w:val="0"/>
          <w:numId w:val="2"/>
        </w:numPr>
        <w:spacing w:after="70"/>
      </w:pPr>
      <w:r>
        <w:rPr>
          <w:rFonts w:ascii="Calibri" w:cs="Calibri" w:eastAsia="Calibri" w:hAnsi="Calibri"/>
          <w:sz w:val="20"/>
          <w:szCs w:val="20"/>
        </w:rPr>
        <w:t xml:space="preserve">Locations that could not be cleared, and why</w:t>
      </w:r>
    </w:p>
    <w:p>
      <w:pPr>
        <w:pStyle w:val="ListParagraph"/>
        <w:numPr>
          <w:ilvl w:val="0"/>
          <w:numId w:val="2"/>
        </w:numPr>
        <w:spacing w:after="70"/>
      </w:pPr>
      <w:r>
        <w:rPr>
          <w:rFonts w:ascii="Calibri" w:cs="Calibri" w:eastAsia="Calibri" w:hAnsi="Calibri"/>
          <w:sz w:val="20"/>
          <w:szCs w:val="20"/>
        </w:rPr>
        <w:t xml:space="preserve">Who was present and who was notified of conflicts</w:t>
      </w:r>
    </w:p>
    <w:p>
      <w:r>
        <w:br w:type="page"/>
      </w:r>
    </w:p>
    <w:p>
      <w:pPr>
        <w:pStyle w:val="Heading1"/>
        <w:pBdr>
          <w:bottom w:val="single" w:color="BFBFBF" w:sz="8" w:space="4"/>
        </w:pBdr>
        <w:spacing w:after="120" w:before="360"/>
      </w:pPr>
      <w:r>
        <w:rPr>
          <w:rFonts w:ascii="Calibri" w:cs="Calibri" w:eastAsia="Calibri" w:hAnsi="Calibri"/>
          <w:b/>
          <w:bCs/>
          <w:color w:val="1F3864"/>
          <w:sz w:val="26"/>
          <w:szCs w:val="26"/>
        </w:rPr>
        <w:t xml:space="preserve">8.  Field Checklist</w:t>
      </w:r>
    </w:p>
    <w:p>
      <w:pPr>
        <w:spacing w:after="160"/>
      </w:pPr>
      <w:r>
        <w:rPr>
          <w:rFonts w:ascii="Calibri" w:cs="Calibri" w:eastAsia="Calibri" w:hAnsi="Calibri"/>
          <w:b w:val="false"/>
          <w:bCs w:val="false"/>
          <w:i/>
          <w:iCs/>
          <w:color w:val="000000"/>
          <w:sz w:val="20"/>
          <w:szCs w:val="20"/>
        </w:rPr>
        <w:t xml:space="preserve">Print this. Keep it with the equipment.</w:t>
      </w:r>
    </w:p>
    <w:p>
      <w:pPr>
        <w:spacing w:after="80" w:before="220"/>
      </w:pPr>
      <w:r>
        <w:rPr>
          <w:rFonts w:ascii="Calibri" w:cs="Calibri" w:eastAsia="Calibri" w:hAnsi="Calibri"/>
          <w:b/>
          <w:bCs/>
          <w:color w:val="1B1B1B"/>
          <w:sz w:val="22"/>
          <w:szCs w:val="22"/>
        </w:rPr>
        <w:t xml:space="preserve">Before the scan</w:t>
      </w:r>
    </w:p>
    <w:p>
      <w:pPr>
        <w:pStyle w:val="ListParagraph"/>
        <w:numPr>
          <w:ilvl w:val="0"/>
          <w:numId w:val="2"/>
        </w:numPr>
        <w:spacing w:after="70"/>
      </w:pPr>
      <w:r>
        <w:rPr>
          <w:rFonts w:ascii="Calibri" w:cs="Calibri" w:eastAsia="Calibri" w:hAnsi="Calibri"/>
          <w:sz w:val="20"/>
          <w:szCs w:val="20"/>
        </w:rPr>
        <w:t xml:space="preserve">Structure type confirmed, or assumed post-tensioned</w:t>
      </w:r>
    </w:p>
    <w:p>
      <w:pPr>
        <w:pStyle w:val="ListParagraph"/>
        <w:numPr>
          <w:ilvl w:val="0"/>
          <w:numId w:val="2"/>
        </w:numPr>
        <w:spacing w:after="70"/>
      </w:pPr>
      <w:r>
        <w:rPr>
          <w:rFonts w:ascii="Calibri" w:cs="Calibri" w:eastAsia="Calibri" w:hAnsi="Calibri"/>
          <w:sz w:val="20"/>
          <w:szCs w:val="20"/>
        </w:rPr>
        <w:t xml:space="preserve">Slab thickness known</w:t>
      </w:r>
    </w:p>
    <w:p>
      <w:pPr>
        <w:pStyle w:val="ListParagraph"/>
        <w:numPr>
          <w:ilvl w:val="0"/>
          <w:numId w:val="2"/>
        </w:numPr>
        <w:spacing w:after="70"/>
      </w:pPr>
      <w:r>
        <w:rPr>
          <w:rFonts w:ascii="Calibri" w:cs="Calibri" w:eastAsia="Calibri" w:hAnsi="Calibri"/>
          <w:sz w:val="20"/>
          <w:szCs w:val="20"/>
        </w:rPr>
        <w:t xml:space="preserve">Drawings reviewed, treated as background only</w:t>
      </w:r>
    </w:p>
    <w:p>
      <w:pPr>
        <w:pStyle w:val="ListParagraph"/>
        <w:numPr>
          <w:ilvl w:val="0"/>
          <w:numId w:val="2"/>
        </w:numPr>
        <w:spacing w:after="70"/>
      </w:pPr>
      <w:r>
        <w:rPr>
          <w:rFonts w:ascii="Calibri" w:cs="Calibri" w:eastAsia="Calibri" w:hAnsi="Calibri"/>
          <w:sz w:val="20"/>
          <w:szCs w:val="20"/>
        </w:rPr>
        <w:t xml:space="preserve">Layout marked by the contractor and confirmed final</w:t>
      </w:r>
    </w:p>
    <w:p>
      <w:pPr>
        <w:pStyle w:val="ListParagraph"/>
        <w:numPr>
          <w:ilvl w:val="0"/>
          <w:numId w:val="2"/>
        </w:numPr>
        <w:spacing w:after="70"/>
      </w:pPr>
      <w:r>
        <w:rPr>
          <w:rFonts w:ascii="Calibri" w:cs="Calibri" w:eastAsia="Calibri" w:hAnsi="Calibri"/>
          <w:sz w:val="20"/>
          <w:szCs w:val="20"/>
        </w:rPr>
        <w:t xml:space="preserve">Core diameter and depth known</w:t>
      </w:r>
    </w:p>
    <w:p>
      <w:pPr>
        <w:pStyle w:val="ListParagraph"/>
        <w:numPr>
          <w:ilvl w:val="0"/>
          <w:numId w:val="2"/>
        </w:numPr>
        <w:spacing w:after="70"/>
      </w:pPr>
      <w:r>
        <w:rPr>
          <w:rFonts w:ascii="Calibri" w:cs="Calibri" w:eastAsia="Calibri" w:hAnsi="Calibri"/>
          <w:sz w:val="20"/>
          <w:szCs w:val="20"/>
        </w:rPr>
        <w:t xml:space="preserve">Surface swept, dry, and clear</w:t>
      </w:r>
    </w:p>
    <w:p>
      <w:pPr>
        <w:pStyle w:val="ListParagraph"/>
        <w:numPr>
          <w:ilvl w:val="0"/>
          <w:numId w:val="2"/>
        </w:numPr>
        <w:spacing w:after="70"/>
      </w:pPr>
      <w:r>
        <w:rPr>
          <w:rFonts w:ascii="Calibri" w:cs="Calibri" w:eastAsia="Calibri" w:hAnsi="Calibri"/>
          <w:sz w:val="20"/>
          <w:szCs w:val="20"/>
        </w:rPr>
        <w:t xml:space="preserve">Antenna frequency appropriate to thickness and target</w:t>
      </w:r>
    </w:p>
    <w:p>
      <w:pPr>
        <w:spacing w:after="80" w:before="220"/>
      </w:pPr>
      <w:r>
        <w:rPr>
          <w:rFonts w:ascii="Calibri" w:cs="Calibri" w:eastAsia="Calibri" w:hAnsi="Calibri"/>
          <w:b/>
          <w:bCs/>
          <w:color w:val="1B1B1B"/>
          <w:sz w:val="22"/>
          <w:szCs w:val="22"/>
        </w:rPr>
        <w:t xml:space="preserve">During the scan</w:t>
      </w:r>
    </w:p>
    <w:p>
      <w:pPr>
        <w:pStyle w:val="ListParagraph"/>
        <w:numPr>
          <w:ilvl w:val="0"/>
          <w:numId w:val="2"/>
        </w:numPr>
        <w:spacing w:after="70"/>
      </w:pPr>
      <w:r>
        <w:rPr>
          <w:rFonts w:ascii="Calibri" w:cs="Calibri" w:eastAsia="Calibri" w:hAnsi="Calibri"/>
          <w:sz w:val="20"/>
          <w:szCs w:val="20"/>
        </w:rPr>
        <w:t xml:space="preserve">Velocity calibrated on this slab, value recorded</w:t>
      </w:r>
    </w:p>
    <w:p>
      <w:pPr>
        <w:pStyle w:val="ListParagraph"/>
        <w:numPr>
          <w:ilvl w:val="0"/>
          <w:numId w:val="2"/>
        </w:numPr>
        <w:spacing w:after="70"/>
      </w:pPr>
      <w:r>
        <w:rPr>
          <w:rFonts w:ascii="Calibri" w:cs="Calibri" w:eastAsia="Calibri" w:hAnsi="Calibri"/>
          <w:sz w:val="20"/>
          <w:szCs w:val="20"/>
        </w:rPr>
        <w:t xml:space="preserve">Orthogonal passes at every location, no exceptions</w:t>
      </w:r>
    </w:p>
    <w:p>
      <w:pPr>
        <w:pStyle w:val="ListParagraph"/>
        <w:numPr>
          <w:ilvl w:val="0"/>
          <w:numId w:val="2"/>
        </w:numPr>
        <w:spacing w:after="70"/>
      </w:pPr>
      <w:r>
        <w:rPr>
          <w:rFonts w:ascii="Calibri" w:cs="Calibri" w:eastAsia="Calibri" w:hAnsi="Calibri"/>
          <w:sz w:val="20"/>
          <w:szCs w:val="20"/>
        </w:rPr>
        <w:t xml:space="preserve">Line spacing 2 to 4 inches</w:t>
      </w:r>
    </w:p>
    <w:p>
      <w:pPr>
        <w:pStyle w:val="ListParagraph"/>
        <w:numPr>
          <w:ilvl w:val="0"/>
          <w:numId w:val="2"/>
        </w:numPr>
        <w:spacing w:after="70"/>
      </w:pPr>
      <w:r>
        <w:rPr>
          <w:rFonts w:ascii="Calibri" w:cs="Calibri" w:eastAsia="Calibri" w:hAnsi="Calibri"/>
          <w:sz w:val="20"/>
          <w:szCs w:val="20"/>
        </w:rPr>
        <w:t xml:space="preserve">Every pass extended at least 6 inches past the penetration footprint</w:t>
      </w:r>
    </w:p>
    <w:p>
      <w:pPr>
        <w:pStyle w:val="ListParagraph"/>
        <w:numPr>
          <w:ilvl w:val="0"/>
          <w:numId w:val="2"/>
        </w:numPr>
        <w:spacing w:after="70"/>
      </w:pPr>
      <w:r>
        <w:rPr>
          <w:rFonts w:ascii="Calibri" w:cs="Calibri" w:eastAsia="Calibri" w:hAnsi="Calibri"/>
          <w:sz w:val="20"/>
          <w:szCs w:val="20"/>
        </w:rPr>
        <w:t xml:space="preserve">Continuous surface contact maintained</w:t>
      </w:r>
    </w:p>
    <w:p>
      <w:pPr>
        <w:pStyle w:val="ListParagraph"/>
        <w:numPr>
          <w:ilvl w:val="0"/>
          <w:numId w:val="2"/>
        </w:numPr>
        <w:spacing w:after="70"/>
      </w:pPr>
      <w:r>
        <w:rPr>
          <w:rFonts w:ascii="Calibri" w:cs="Calibri" w:eastAsia="Calibri" w:hAnsi="Calibri"/>
          <w:sz w:val="20"/>
          <w:szCs w:val="20"/>
        </w:rPr>
        <w:t xml:space="preserve">Diagonals added where target direction is uncertain</w:t>
      </w:r>
    </w:p>
    <w:p>
      <w:pPr>
        <w:pStyle w:val="ListParagraph"/>
        <w:numPr>
          <w:ilvl w:val="0"/>
          <w:numId w:val="2"/>
        </w:numPr>
        <w:spacing w:after="70"/>
      </w:pPr>
      <w:r>
        <w:rPr>
          <w:rFonts w:ascii="Calibri" w:cs="Calibri" w:eastAsia="Calibri" w:hAnsi="Calibri"/>
          <w:sz w:val="20"/>
          <w:szCs w:val="20"/>
        </w:rPr>
        <w:t xml:space="preserve">Along-span passes on post-tensioned slabs to confirm drape</w:t>
      </w:r>
    </w:p>
    <w:p>
      <w:pPr>
        <w:spacing w:after="80" w:before="220"/>
      </w:pPr>
      <w:r>
        <w:rPr>
          <w:rFonts w:ascii="Calibri" w:cs="Calibri" w:eastAsia="Calibri" w:hAnsi="Calibri"/>
          <w:b/>
          <w:bCs/>
          <w:color w:val="1B1B1B"/>
          <w:sz w:val="22"/>
          <w:szCs w:val="22"/>
        </w:rPr>
        <w:t xml:space="preserve">Before leaving</w:t>
      </w:r>
    </w:p>
    <w:p>
      <w:pPr>
        <w:pStyle w:val="ListParagraph"/>
        <w:numPr>
          <w:ilvl w:val="0"/>
          <w:numId w:val="2"/>
        </w:numPr>
        <w:spacing w:after="70"/>
      </w:pPr>
      <w:r>
        <w:rPr>
          <w:rFonts w:ascii="Calibri" w:cs="Calibri" w:eastAsia="Calibri" w:hAnsi="Calibri"/>
          <w:sz w:val="20"/>
          <w:szCs w:val="20"/>
        </w:rPr>
        <w:t xml:space="preserve">All targets and clear zones marked per convention</w:t>
      </w:r>
    </w:p>
    <w:p>
      <w:pPr>
        <w:pStyle w:val="ListParagraph"/>
        <w:numPr>
          <w:ilvl w:val="0"/>
          <w:numId w:val="2"/>
        </w:numPr>
        <w:spacing w:after="70"/>
      </w:pPr>
      <w:r>
        <w:rPr>
          <w:rFonts w:ascii="Calibri" w:cs="Calibri" w:eastAsia="Calibri" w:hAnsi="Calibri"/>
          <w:sz w:val="20"/>
          <w:szCs w:val="20"/>
        </w:rPr>
        <w:t xml:space="preserve">Limit of scanned area outlined</w:t>
      </w:r>
    </w:p>
    <w:p>
      <w:pPr>
        <w:pStyle w:val="ListParagraph"/>
        <w:numPr>
          <w:ilvl w:val="0"/>
          <w:numId w:val="2"/>
        </w:numPr>
        <w:spacing w:after="70"/>
      </w:pPr>
      <w:r>
        <w:rPr>
          <w:rFonts w:ascii="Calibri" w:cs="Calibri" w:eastAsia="Calibri" w:hAnsi="Calibri"/>
          <w:sz w:val="20"/>
          <w:szCs w:val="20"/>
        </w:rPr>
        <w:t xml:space="preserve">Every scan area dimensioned from two permanent features</w:t>
      </w:r>
    </w:p>
    <w:p>
      <w:pPr>
        <w:pStyle w:val="ListParagraph"/>
        <w:numPr>
          <w:ilvl w:val="0"/>
          <w:numId w:val="2"/>
        </w:numPr>
        <w:spacing w:after="70"/>
      </w:pPr>
      <w:r>
        <w:rPr>
          <w:rFonts w:ascii="Calibri" w:cs="Calibri" w:eastAsia="Calibri" w:hAnsi="Calibri"/>
          <w:sz w:val="20"/>
          <w:szCs w:val="20"/>
        </w:rPr>
        <w:t xml:space="preserve">Photographs taken with scale and reference in frame</w:t>
      </w:r>
    </w:p>
    <w:p>
      <w:pPr>
        <w:pStyle w:val="ListParagraph"/>
        <w:numPr>
          <w:ilvl w:val="0"/>
          <w:numId w:val="2"/>
        </w:numPr>
        <w:spacing w:after="70"/>
      </w:pPr>
      <w:r>
        <w:rPr>
          <w:rFonts w:ascii="Calibri" w:cs="Calibri" w:eastAsia="Calibri" w:hAnsi="Calibri"/>
          <w:sz w:val="20"/>
          <w:szCs w:val="20"/>
        </w:rPr>
        <w:t xml:space="preserve">Field sketch complete with calibration value</w:t>
      </w:r>
    </w:p>
    <w:p>
      <w:pPr>
        <w:pStyle w:val="ListParagraph"/>
        <w:numPr>
          <w:ilvl w:val="0"/>
          <w:numId w:val="2"/>
        </w:numPr>
        <w:spacing w:after="70"/>
      </w:pPr>
      <w:r>
        <w:rPr>
          <w:rFonts w:ascii="Calibri" w:cs="Calibri" w:eastAsia="Calibri" w:hAnsi="Calibri"/>
          <w:sz w:val="20"/>
          <w:szCs w:val="20"/>
        </w:rPr>
        <w:t xml:space="preserve">Conflicts communicated verbally to the field representative, and noted</w:t>
      </w:r>
    </w:p>
    <w:p>
      <w:pPr>
        <w:pStyle w:val="ListParagraph"/>
        <w:numPr>
          <w:ilvl w:val="0"/>
          <w:numId w:val="2"/>
        </w:numPr>
        <w:spacing w:after="70"/>
      </w:pPr>
      <w:r>
        <w:rPr>
          <w:rFonts w:ascii="Calibri" w:cs="Calibri" w:eastAsia="Calibri" w:hAnsi="Calibri"/>
          <w:sz w:val="20"/>
          <w:szCs w:val="20"/>
        </w:rPr>
        <w:t xml:space="preserve">Equipment accounted for and area left safe</w:t>
      </w:r>
    </w:p>
    <w:p>
      <w:pPr>
        <w:pStyle w:val="Heading1"/>
        <w:pBdr>
          <w:bottom w:val="single" w:color="BFBFBF" w:sz="8" w:space="4"/>
        </w:pBdr>
        <w:spacing w:after="120" w:before="360"/>
      </w:pPr>
      <w:r>
        <w:rPr>
          <w:rFonts w:ascii="Calibri" w:cs="Calibri" w:eastAsia="Calibri" w:hAnsi="Calibri"/>
          <w:b/>
          <w:bCs/>
          <w:color w:val="1F3864"/>
          <w:sz w:val="26"/>
          <w:szCs w:val="26"/>
        </w:rPr>
        <w:t xml:space="preserve">9.  Sending Data for Outside Interpretation</w:t>
      </w:r>
    </w:p>
    <w:p>
      <w:pPr>
        <w:spacing w:after="120"/>
      </w:pPr>
      <w:r>
        <w:rPr>
          <w:rFonts w:ascii="Calibri" w:cs="Calibri" w:eastAsia="Calibri" w:hAnsi="Calibri"/>
          <w:b w:val="false"/>
          <w:bCs w:val="false"/>
          <w:i w:val="false"/>
          <w:iCs w:val="false"/>
          <w:color w:val="000000"/>
          <w:sz w:val="20"/>
          <w:szCs w:val="20"/>
        </w:rPr>
        <w:t xml:space="preserve">If someone else is interpreting your data, they can only work with what you send. A file with no context is not interpretable, and no amount of expertise fixes a scan that was collected wrong.</w:t>
      </w:r>
    </w:p>
    <w:p>
      <w:pPr>
        <w:spacing w:after="80" w:before="220"/>
      </w:pPr>
      <w:r>
        <w:rPr>
          <w:rFonts w:ascii="Calibri" w:cs="Calibri" w:eastAsia="Calibri" w:hAnsi="Calibri"/>
          <w:b/>
          <w:bCs/>
          <w:color w:val="1B1B1B"/>
          <w:sz w:val="22"/>
          <w:szCs w:val="22"/>
        </w:rPr>
        <w:t xml:space="preserve">Send all of the following</w:t>
      </w:r>
    </w:p>
    <w:p>
      <w:pPr>
        <w:pStyle w:val="ListParagraph"/>
        <w:numPr>
          <w:ilvl w:val="0"/>
          <w:numId w:val="3"/>
        </w:numPr>
        <w:spacing w:after="70"/>
      </w:pPr>
      <w:r>
        <w:rPr>
          <w:rFonts w:ascii="Calibri" w:cs="Calibri" w:eastAsia="Calibri" w:hAnsi="Calibri"/>
          <w:sz w:val="20"/>
          <w:szCs w:val="20"/>
        </w:rPr>
        <w:t xml:space="preserve">Raw data files in native format. Not screenshots, not exported images.</w:t>
      </w:r>
    </w:p>
    <w:p>
      <w:pPr>
        <w:pStyle w:val="ListParagraph"/>
        <w:numPr>
          <w:ilvl w:val="0"/>
          <w:numId w:val="3"/>
        </w:numPr>
        <w:spacing w:after="70"/>
      </w:pPr>
      <w:r>
        <w:rPr>
          <w:rFonts w:ascii="Calibri" w:cs="Calibri" w:eastAsia="Calibri" w:hAnsi="Calibri"/>
          <w:sz w:val="20"/>
          <w:szCs w:val="20"/>
        </w:rPr>
        <w:t xml:space="preserve">Equipment make, model, antenna frequency, and all acquisition settings.</w:t>
      </w:r>
    </w:p>
    <w:p>
      <w:pPr>
        <w:pStyle w:val="ListParagraph"/>
        <w:numPr>
          <w:ilvl w:val="0"/>
          <w:numId w:val="3"/>
        </w:numPr>
        <w:spacing w:after="70"/>
      </w:pPr>
      <w:r>
        <w:rPr>
          <w:rFonts w:ascii="Calibri" w:cs="Calibri" w:eastAsia="Calibri" w:hAnsi="Calibri"/>
          <w:sz w:val="20"/>
          <w:szCs w:val="20"/>
        </w:rPr>
        <w:t xml:space="preserve">Calibration method, value, and the location it was taken from.</w:t>
      </w:r>
    </w:p>
    <w:p>
      <w:pPr>
        <w:pStyle w:val="ListParagraph"/>
        <w:numPr>
          <w:ilvl w:val="0"/>
          <w:numId w:val="3"/>
        </w:numPr>
        <w:spacing w:after="70"/>
      </w:pPr>
      <w:r>
        <w:rPr>
          <w:rFonts w:ascii="Calibri" w:cs="Calibri" w:eastAsia="Calibri" w:hAnsi="Calibri"/>
          <w:sz w:val="20"/>
          <w:szCs w:val="20"/>
        </w:rPr>
        <w:t xml:space="preserve">Slab thickness, structure type, and the source of that information.</w:t>
      </w:r>
    </w:p>
    <w:p>
      <w:pPr>
        <w:pStyle w:val="ListParagraph"/>
        <w:numPr>
          <w:ilvl w:val="0"/>
          <w:numId w:val="3"/>
        </w:numPr>
        <w:spacing w:after="70"/>
      </w:pPr>
      <w:r>
        <w:rPr>
          <w:rFonts w:ascii="Calibri" w:cs="Calibri" w:eastAsia="Calibri" w:hAnsi="Calibri"/>
          <w:sz w:val="20"/>
          <w:szCs w:val="20"/>
        </w:rPr>
        <w:t xml:space="preserve">Field sketch with dimensions from two permanent references and a building orientation arrow.</w:t>
      </w:r>
    </w:p>
    <w:p>
      <w:pPr>
        <w:pStyle w:val="ListParagraph"/>
        <w:numPr>
          <w:ilvl w:val="0"/>
          <w:numId w:val="3"/>
        </w:numPr>
        <w:spacing w:after="70"/>
      </w:pPr>
      <w:r>
        <w:rPr>
          <w:rFonts w:ascii="Calibri" w:cs="Calibri" w:eastAsia="Calibri" w:hAnsi="Calibri"/>
          <w:sz w:val="20"/>
          <w:szCs w:val="20"/>
        </w:rPr>
        <w:t xml:space="preserve">Photographs of the area, with scale and a permanent feature in frame.</w:t>
      </w:r>
    </w:p>
    <w:p>
      <w:pPr>
        <w:pStyle w:val="ListParagraph"/>
        <w:numPr>
          <w:ilvl w:val="0"/>
          <w:numId w:val="3"/>
        </w:numPr>
        <w:spacing w:after="70"/>
      </w:pPr>
      <w:r>
        <w:rPr>
          <w:rFonts w:ascii="Calibri" w:cs="Calibri" w:eastAsia="Calibri" w:hAnsi="Calibri"/>
          <w:sz w:val="20"/>
          <w:szCs w:val="20"/>
        </w:rPr>
        <w:t xml:space="preserve">Drawings, if any exist, clearly labeled as background.</w:t>
      </w:r>
    </w:p>
    <w:p>
      <w:pPr>
        <w:pStyle w:val="ListParagraph"/>
        <w:numPr>
          <w:ilvl w:val="0"/>
          <w:numId w:val="3"/>
        </w:numPr>
        <w:spacing w:after="70"/>
      </w:pPr>
      <w:r>
        <w:rPr>
          <w:rFonts w:ascii="Calibri" w:cs="Calibri" w:eastAsia="Calibri" w:hAnsi="Calibri"/>
          <w:sz w:val="20"/>
          <w:szCs w:val="20"/>
        </w:rPr>
        <w:t xml:space="preserve">A plain statement of what the client intends to do: core diameter, depth, and purpose.</w:t>
      </w:r>
    </w:p>
    <w:p>
      <w:pPr>
        <w:pStyle w:val="ListParagraph"/>
        <w:numPr>
          <w:ilvl w:val="0"/>
          <w:numId w:val="3"/>
        </w:numPr>
        <w:spacing w:after="70"/>
      </w:pPr>
      <w:r>
        <w:rPr>
          <w:rFonts w:ascii="Calibri" w:cs="Calibri" w:eastAsia="Calibri" w:hAnsi="Calibri"/>
          <w:sz w:val="20"/>
          <w:szCs w:val="20"/>
        </w:rPr>
        <w:t xml:space="preserve">Anything unusual — reduced penetration, surface condition, areas that could not be scanned.</w:t>
      </w:r>
    </w:p>
    <w:p>
      <w:pPr>
        <w:pBdr>
          <w:top w:val="single" w:color="F1F4F9" w:sz="2" w:space="6"/>
          <w:bottom w:val="single" w:color="F1F4F9" w:sz="2" w:space="6"/>
          <w:left w:val="single" w:color="1F3864" w:sz="18" w:space="8"/>
          <w:right w:val="single" w:color="F1F4F9" w:sz="2" w:space="6"/>
        </w:pBdr>
        <w:shd w:fill="F1F4F9" w:color="auto" w:val="clear"/>
        <w:spacing w:after="140" w:before="120"/>
      </w:pPr>
      <w:r>
        <w:rPr>
          <w:rFonts w:ascii="Calibri" w:cs="Calibri" w:eastAsia="Calibri" w:hAnsi="Calibri"/>
          <w:b/>
          <w:bCs/>
          <w:color w:val="1F3864"/>
          <w:sz w:val="19"/>
          <w:szCs w:val="19"/>
        </w:rPr>
        <w:t xml:space="preserve">Expect a rescan call  </w:t>
      </w:r>
      <w:r>
        <w:rPr>
          <w:rFonts w:ascii="Calibri" w:cs="Calibri" w:eastAsia="Calibri" w:hAnsi="Calibri"/>
          <w:sz w:val="19"/>
          <w:szCs w:val="19"/>
        </w:rPr>
        <w:t xml:space="preserve">A competent interpreter will sometimes tell you the data cannot support a conclusion. That answer is worth more than a confident interpretation of inadequate data, and it is far cheaper than a strike.</w:t>
      </w:r>
    </w:p>
    <w:p>
      <w:pPr>
        <w:pStyle w:val="Heading1"/>
        <w:pBdr>
          <w:bottom w:val="single" w:color="BFBFBF" w:sz="8" w:space="4"/>
        </w:pBdr>
        <w:spacing w:after="120" w:before="360"/>
      </w:pPr>
      <w:r>
        <w:rPr>
          <w:rFonts w:ascii="Calibri" w:cs="Calibri" w:eastAsia="Calibri" w:hAnsi="Calibri"/>
          <w:b/>
          <w:bCs/>
          <w:color w:val="1F3864"/>
          <w:sz w:val="26"/>
          <w:szCs w:val="26"/>
        </w:rPr>
        <w:t xml:space="preserve">10.  What to Tell the Client, Every Time</w:t>
      </w:r>
    </w:p>
    <w:p>
      <w:pPr>
        <w:spacing w:after="120"/>
      </w:pPr>
      <w:r>
        <w:rPr>
          <w:rFonts w:ascii="Calibri" w:cs="Calibri" w:eastAsia="Calibri" w:hAnsi="Calibri"/>
          <w:b w:val="false"/>
          <w:bCs w:val="false"/>
          <w:i w:val="false"/>
          <w:iCs w:val="false"/>
          <w:color w:val="000000"/>
          <w:sz w:val="20"/>
          <w:szCs w:val="20"/>
        </w:rPr>
        <w:t xml:space="preserve">Most disputes in this work come from a client believing a scan means more than it does. Say these things out loud, and put them in the paperwork.</w:t>
      </w:r>
    </w:p>
    <w:p>
      <w:pPr>
        <w:pStyle w:val="ListParagraph"/>
        <w:numPr>
          <w:ilvl w:val="0"/>
          <w:numId w:val="2"/>
        </w:numPr>
        <w:spacing w:after="70"/>
      </w:pPr>
      <w:r>
        <w:rPr>
          <w:rFonts w:ascii="Calibri" w:cs="Calibri" w:eastAsia="Calibri" w:hAnsi="Calibri"/>
          <w:sz w:val="20"/>
          <w:szCs w:val="20"/>
        </w:rPr>
        <w:t xml:space="preserve">GPR detects anomalies. It does not identify what they are made of. Tendons, rebar, and conduit can look alike.</w:t>
      </w:r>
    </w:p>
    <w:p>
      <w:pPr>
        <w:pStyle w:val="ListParagraph"/>
        <w:numPr>
          <w:ilvl w:val="0"/>
          <w:numId w:val="2"/>
        </w:numPr>
        <w:spacing w:after="70"/>
      </w:pPr>
      <w:r>
        <w:rPr>
          <w:rFonts w:ascii="Calibri" w:cs="Calibri" w:eastAsia="Calibri" w:hAnsi="Calibri"/>
          <w:sz w:val="20"/>
          <w:szCs w:val="20"/>
        </w:rPr>
        <w:t xml:space="preserve">Non-metallic items — PVC, voids, low-contrast inclusions — may not be detectable at all.</w:t>
      </w:r>
    </w:p>
    <w:p>
      <w:pPr>
        <w:pStyle w:val="ListParagraph"/>
        <w:numPr>
          <w:ilvl w:val="0"/>
          <w:numId w:val="2"/>
        </w:numPr>
        <w:spacing w:after="70"/>
      </w:pPr>
      <w:r>
        <w:rPr>
          <w:rFonts w:ascii="Calibri" w:cs="Calibri" w:eastAsia="Calibri" w:hAnsi="Calibri"/>
          <w:sz w:val="20"/>
          <w:szCs w:val="20"/>
        </w:rPr>
        <w:t xml:space="preserve">Dense upper reinforcement can hide anything beneath it.</w:t>
      </w:r>
    </w:p>
    <w:p>
      <w:pPr>
        <w:pStyle w:val="ListParagraph"/>
        <w:numPr>
          <w:ilvl w:val="0"/>
          <w:numId w:val="2"/>
        </w:numPr>
        <w:spacing w:after="70"/>
      </w:pPr>
      <w:r>
        <w:rPr>
          <w:rFonts w:ascii="Calibri" w:cs="Calibri" w:eastAsia="Calibri" w:hAnsi="Calibri"/>
          <w:sz w:val="20"/>
          <w:szCs w:val="20"/>
        </w:rPr>
        <w:t xml:space="preserve">Depths are approximate, derived from a calibrated velocity, and uncertainty grows with depth.</w:t>
      </w:r>
    </w:p>
    <w:p>
      <w:pPr>
        <w:pStyle w:val="ListParagraph"/>
        <w:numPr>
          <w:ilvl w:val="0"/>
          <w:numId w:val="2"/>
        </w:numPr>
        <w:spacing w:after="70"/>
      </w:pPr>
      <w:r>
        <w:rPr>
          <w:rFonts w:ascii="Calibri" w:cs="Calibri" w:eastAsia="Calibri" w:hAnsi="Calibri"/>
          <w:sz w:val="20"/>
          <w:szCs w:val="20"/>
        </w:rPr>
        <w:t xml:space="preserve">Findings apply only to the areas actually scanned, and only to conditions at the time of scanning.</w:t>
      </w:r>
    </w:p>
    <w:p>
      <w:pPr>
        <w:pStyle w:val="ListParagraph"/>
        <w:numPr>
          <w:ilvl w:val="0"/>
          <w:numId w:val="2"/>
        </w:numPr>
        <w:spacing w:after="70"/>
      </w:pPr>
      <w:r>
        <w:rPr>
          <w:rFonts w:ascii="Calibri" w:cs="Calibri" w:eastAsia="Calibri" w:hAnsi="Calibri"/>
          <w:sz w:val="20"/>
          <w:szCs w:val="20"/>
        </w:rPr>
        <w:t xml:space="preserve">Marks are good for the shift, and no more than about a week. Disturbed areas need rescanning.</w:t>
      </w:r>
    </w:p>
    <w:p>
      <w:pPr>
        <w:pStyle w:val="ListParagraph"/>
        <w:numPr>
          <w:ilvl w:val="0"/>
          <w:numId w:val="2"/>
        </w:numPr>
        <w:spacing w:after="70"/>
      </w:pPr>
      <w:r>
        <w:rPr>
          <w:rFonts w:ascii="Calibri" w:cs="Calibri" w:eastAsia="Calibri" w:hAnsi="Calibri"/>
          <w:sz w:val="20"/>
          <w:szCs w:val="20"/>
        </w:rPr>
        <w:t xml:space="preserve">The contractor decides where to core. Scanning informs that decision; it does not make it.</w:t>
      </w:r>
    </w:p>
    <w:p>
      <w:pPr>
        <w:pStyle w:val="ListParagraph"/>
        <w:numPr>
          <w:ilvl w:val="0"/>
          <w:numId w:val="2"/>
        </w:numPr>
        <w:spacing w:after="70"/>
      </w:pPr>
      <w:r>
        <w:rPr>
          <w:rFonts w:ascii="Calibri" w:cs="Calibri" w:eastAsia="Calibri" w:hAnsi="Calibri"/>
          <w:sz w:val="20"/>
          <w:szCs w:val="20"/>
        </w:rPr>
        <w:t xml:space="preserve">Where a strike would be severe, recommend independent verification — hand chipping, vacuum excavation, or radiography — before drilling.</w:t>
      </w:r>
    </w:p>
    <w:p>
      <w:pPr>
        <w:spacing w:after="200"/>
      </w:pPr>
      <w:r>
        <w:rPr>
          <w:rFonts w:ascii="Calibri" w:cs="Calibri" w:eastAsia="Calibri" w:hAnsi="Calibri"/>
          <w:b w:val="false"/>
          <w:bCs w:val="false"/>
          <w:i w:val="false"/>
          <w:iCs w:val="false"/>
          <w:color w:val="000000"/>
          <w:sz w:val="20"/>
          <w:szCs w:val="20"/>
        </w:rPr>
        <w:t xml:space="preserve"> </w:t>
      </w:r>
    </w:p>
    <w:p>
      <w:pPr>
        <w:pBdr>
          <w:top w:val="single" w:color="BFBFBF" w:sz="8" w:space="8"/>
        </w:pBdr>
        <w:spacing w:before="200"/>
      </w:pPr>
      <w:r>
        <w:rPr>
          <w:rFonts w:ascii="Calibri" w:cs="Calibri" w:eastAsia="Calibri" w:hAnsi="Calibri"/>
          <w:i/>
          <w:iCs/>
          <w:color w:val="595959"/>
          <w:sz w:val="16"/>
          <w:szCs w:val="16"/>
        </w:rPr>
        <w:t xml:space="preserve">This guide describes field data collection practice for ground penetrating radar scanning of concrete. It is general guidance for scoping and collection only, is not a substitute for equipment-specific manufacturer instructions, training, or professional judgment, and does not constitute engineering advice. Field methodology should follow ASTM D6432 and ACI 228.2R as applicable, in their current editions.</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6"/>
        <w:szCs w:val="16"/>
      </w:rPr>
      <w:t xml:space="preserve">GPR Concrete Scanning — Field Data Collection Standard   ·   Page </w:t>
    </w:r>
    <w:r>
      <w:rPr>
        <w:rFonts w:ascii="Calibri" w:cs="Calibri" w:eastAsia="Calibri" w:hAnsi="Calibri"/>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GPR Concrete Scanning — Field Data Collection Standard</dc:title>
  <dc:creator>Terradocs</dc:creator>
  <cp:lastModifiedBy>Un-named</cp:lastModifiedBy>
  <cp:revision>1</cp:revision>
  <dcterms:created xsi:type="dcterms:W3CDTF">2026-08-09T11:08:53.436Z</dcterms:created>
  <dcterms:modified xsi:type="dcterms:W3CDTF">2026-08-09T11:08:53.467Z</dcterms:modified>
</cp:coreProperties>
</file>

<file path=docProps/custom.xml><?xml version="1.0" encoding="utf-8"?>
<Properties xmlns="http://schemas.openxmlformats.org/officeDocument/2006/custom-properties" xmlns:vt="http://schemas.openxmlformats.org/officeDocument/2006/docPropsVTypes"/>
</file>